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9C65EF" w:rsidRPr="009C65EF" w:rsidRDefault="009C65EF" w:rsidP="009C65EF">
      <w:pPr>
        <w:pStyle w:val="ad"/>
        <w:ind w:firstLine="709"/>
        <w:jc w:val="center"/>
        <w:rPr>
          <w:rFonts w:ascii="Times New Roman" w:hAnsi="Times New Roman"/>
          <w:sz w:val="27"/>
          <w:szCs w:val="27"/>
        </w:rPr>
      </w:pPr>
    </w:p>
    <w:p w:rsidR="002E1AF4" w:rsidRPr="009C65EF" w:rsidRDefault="002E1AF4" w:rsidP="002E1AF4">
      <w:pPr>
        <w:pStyle w:val="ad"/>
        <w:spacing w:line="216" w:lineRule="auto"/>
        <w:ind w:firstLine="709"/>
        <w:jc w:val="both"/>
        <w:rPr>
          <w:rFonts w:ascii="Times New Roman" w:hAnsi="Times New Roman"/>
          <w:sz w:val="27"/>
          <w:szCs w:val="27"/>
        </w:rPr>
      </w:pPr>
      <w:r w:rsidRPr="009C65EF">
        <w:rPr>
          <w:rFonts w:ascii="Times New Roman" w:hAnsi="Times New Roman"/>
          <w:sz w:val="27"/>
          <w:szCs w:val="27"/>
        </w:rPr>
        <w:t>Федеральным законом от 23 апреля 2018 г. № 111-ФЗ «О внесении изменений в Уголовный кодекс Российской Федерации» усилено наказание за хищение денежных средств с банковского счета или электронных денежных средств до 6 лет лишения свободы. При этом уголовная ответственность наступает не только за совершение хищений с использованием банковских карт (их реквизитов и контрольной информации), но и иных электронных средств платежа («электронные кошельки», другие платежные сервисы).</w:t>
      </w:r>
    </w:p>
    <w:p w:rsidR="002E1AF4" w:rsidRPr="009C65EF" w:rsidRDefault="002E1AF4" w:rsidP="002E1AF4">
      <w:pPr>
        <w:pStyle w:val="ad"/>
        <w:spacing w:line="216" w:lineRule="auto"/>
        <w:ind w:firstLine="709"/>
        <w:jc w:val="both"/>
        <w:rPr>
          <w:rFonts w:ascii="Times New Roman" w:hAnsi="Times New Roman"/>
          <w:sz w:val="27"/>
          <w:szCs w:val="27"/>
        </w:rPr>
      </w:pPr>
      <w:r w:rsidRPr="009C65EF">
        <w:rPr>
          <w:rFonts w:ascii="Times New Roman" w:hAnsi="Times New Roman"/>
          <w:sz w:val="27"/>
          <w:szCs w:val="27"/>
        </w:rPr>
        <w:t>Принятие Федерального закона от 27 июня 2018 г. № 167-ФЗ «О внесении изменений в отдельные законодательные акты Российской Федерации в части противодействия хищению денежных средств» и запуск автоматизированных систем Банка России «</w:t>
      </w:r>
      <w:proofErr w:type="spellStart"/>
      <w:r w:rsidRPr="009C65EF">
        <w:rPr>
          <w:rFonts w:ascii="Times New Roman" w:hAnsi="Times New Roman"/>
          <w:sz w:val="27"/>
          <w:szCs w:val="27"/>
        </w:rPr>
        <w:t>ФинЦЕРТ</w:t>
      </w:r>
      <w:proofErr w:type="spellEnd"/>
      <w:r w:rsidRPr="009C65EF">
        <w:rPr>
          <w:rFonts w:ascii="Times New Roman" w:hAnsi="Times New Roman"/>
          <w:sz w:val="27"/>
          <w:szCs w:val="27"/>
        </w:rPr>
        <w:t>» и «</w:t>
      </w:r>
      <w:proofErr w:type="spellStart"/>
      <w:r w:rsidRPr="009C65EF">
        <w:rPr>
          <w:rFonts w:ascii="Times New Roman" w:hAnsi="Times New Roman"/>
          <w:sz w:val="27"/>
          <w:szCs w:val="27"/>
        </w:rPr>
        <w:t>ФидАнтифрод</w:t>
      </w:r>
      <w:proofErr w:type="spellEnd"/>
      <w:r w:rsidRPr="009C65EF">
        <w:rPr>
          <w:rFonts w:ascii="Times New Roman" w:hAnsi="Times New Roman"/>
          <w:sz w:val="27"/>
          <w:szCs w:val="27"/>
        </w:rPr>
        <w:t>» расширили возможности кредитных организаций по выявлению и блокированию транзакций, имеющих признаки перевода денежных средств без согласия клиента, и возмещению ущерба от них.</w:t>
      </w:r>
    </w:p>
    <w:p w:rsidR="002E1AF4" w:rsidRPr="009C65EF" w:rsidRDefault="002E1AF4" w:rsidP="002E1AF4">
      <w:pPr>
        <w:pStyle w:val="ad"/>
        <w:spacing w:line="216" w:lineRule="auto"/>
        <w:ind w:firstLine="709"/>
        <w:jc w:val="both"/>
        <w:rPr>
          <w:rFonts w:ascii="Times New Roman" w:hAnsi="Times New Roman"/>
          <w:sz w:val="27"/>
          <w:szCs w:val="27"/>
        </w:rPr>
      </w:pPr>
      <w:r w:rsidRPr="009C65EF">
        <w:rPr>
          <w:rFonts w:ascii="Times New Roman" w:hAnsi="Times New Roman"/>
          <w:sz w:val="27"/>
          <w:szCs w:val="27"/>
        </w:rPr>
        <w:t>В интегрированный банк данных федерального уровня (далее ИБД-Ф) Главного информационно-аналитического центра МВД России введен в эксплуатацию модуль «Дистанционное мошенничество». Анализ содержащейся в базе данных информации свидетельствует о возможности установить сведения о причастности уличенного в совершении преступления лица к совершению иных преступлений в сфере ИТТ с использованием им тех же номеров телефонов, банковских карт, адресов используемых сайтов и т.д. Таким образом, при установлении лица, совершившего хотя бы один преступный эпизод с использованием тех же средств, возможно отследить и иные совершенные им преступления в любом регионе страны.</w:t>
      </w:r>
    </w:p>
    <w:p w:rsidR="00E0469E" w:rsidRPr="009C65EF" w:rsidRDefault="00E0469E" w:rsidP="009C65EF">
      <w:pPr>
        <w:pStyle w:val="ad"/>
        <w:spacing w:line="216" w:lineRule="auto"/>
        <w:jc w:val="both"/>
        <w:rPr>
          <w:rFonts w:ascii="Times New Roman" w:hAnsi="Times New Roman"/>
          <w:sz w:val="27"/>
          <w:szCs w:val="27"/>
        </w:rPr>
      </w:pPr>
      <w:bookmarkStart w:id="0" w:name="_GoBack"/>
      <w:bookmarkEnd w:id="0"/>
    </w:p>
    <w:sectPr w:rsidR="00E0469E" w:rsidRPr="009C65EF" w:rsidSect="009C65EF">
      <w:footerReference w:type="first" r:id="rId10"/>
      <w:pgSz w:w="11906" w:h="16838"/>
      <w:pgMar w:top="426" w:right="567"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2D7" w:rsidRDefault="004E22D7" w:rsidP="007212FD">
      <w:pPr>
        <w:spacing w:after="0" w:line="240" w:lineRule="auto"/>
      </w:pPr>
      <w:r>
        <w:separator/>
      </w:r>
    </w:p>
  </w:endnote>
  <w:endnote w:type="continuationSeparator" w:id="0">
    <w:p w:rsidR="004E22D7" w:rsidRDefault="004E22D7"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2D7" w:rsidRDefault="004E22D7" w:rsidP="007212FD">
      <w:pPr>
        <w:spacing w:after="0" w:line="240" w:lineRule="auto"/>
      </w:pPr>
      <w:r>
        <w:separator/>
      </w:r>
    </w:p>
  </w:footnote>
  <w:footnote w:type="continuationSeparator" w:id="0">
    <w:p w:rsidR="004E22D7" w:rsidRDefault="004E22D7"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4378"/>
    <w:rsid w:val="002B6BA7"/>
    <w:rsid w:val="002C7C1D"/>
    <w:rsid w:val="002D484E"/>
    <w:rsid w:val="002D6249"/>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3F2154"/>
    <w:rsid w:val="004036B5"/>
    <w:rsid w:val="00410A58"/>
    <w:rsid w:val="00437021"/>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A47BF"/>
    <w:rsid w:val="004B369F"/>
    <w:rsid w:val="004B723E"/>
    <w:rsid w:val="004E0AF0"/>
    <w:rsid w:val="004E22D7"/>
    <w:rsid w:val="004E386A"/>
    <w:rsid w:val="004E3F7D"/>
    <w:rsid w:val="004E7B80"/>
    <w:rsid w:val="004F53F0"/>
    <w:rsid w:val="004F63AD"/>
    <w:rsid w:val="00501116"/>
    <w:rsid w:val="00502E6F"/>
    <w:rsid w:val="005038FF"/>
    <w:rsid w:val="00503D80"/>
    <w:rsid w:val="00503DD5"/>
    <w:rsid w:val="00512CB8"/>
    <w:rsid w:val="005220DC"/>
    <w:rsid w:val="005276BA"/>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C65EF"/>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30832"/>
    <w:rsid w:val="00B35CBB"/>
    <w:rsid w:val="00B55C7F"/>
    <w:rsid w:val="00B601EC"/>
    <w:rsid w:val="00B63C1F"/>
    <w:rsid w:val="00B74A29"/>
    <w:rsid w:val="00B811B8"/>
    <w:rsid w:val="00B83B6C"/>
    <w:rsid w:val="00B93225"/>
    <w:rsid w:val="00BA1182"/>
    <w:rsid w:val="00BA2E39"/>
    <w:rsid w:val="00BB121E"/>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D501D-FC7C-483D-85EC-C82925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val="x-none"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7543F064-0B29-48F9-B29C-8A806B08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ОСНОВНОЙ_Бутурлиновка2.dotx</Template>
  <TotalTime>9</TotalTime>
  <Pages>1</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8</cp:revision>
  <cp:lastPrinted>2024-06-30T16:44:00Z</cp:lastPrinted>
  <dcterms:created xsi:type="dcterms:W3CDTF">2024-06-29T16:50:00Z</dcterms:created>
  <dcterms:modified xsi:type="dcterms:W3CDTF">2024-07-01T15:16:00Z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