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18" w:rsidRPr="007B6225" w:rsidRDefault="00BA3818" w:rsidP="00BA3818">
      <w:pPr>
        <w:jc w:val="center"/>
        <w:rPr>
          <w:sz w:val="28"/>
          <w:szCs w:val="28"/>
        </w:rPr>
      </w:pPr>
      <w:r>
        <w:rPr>
          <w:noProof/>
          <w:sz w:val="28"/>
          <w:szCs w:val="28"/>
          <w:lang w:bidi="ar-SA"/>
        </w:rPr>
        <w:drawing>
          <wp:inline distT="0" distB="0" distL="0" distR="0" wp14:anchorId="3FA4531C" wp14:editId="1E152F6B">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8001B9" w:rsidRDefault="00BA3818" w:rsidP="00BA3818">
      <w:pPr>
        <w:pStyle w:val="ac"/>
        <w:jc w:val="center"/>
        <w:rPr>
          <w:b/>
          <w:i/>
          <w:sz w:val="36"/>
          <w:szCs w:val="36"/>
        </w:rPr>
      </w:pPr>
      <w:r w:rsidRPr="00C62D91">
        <w:rPr>
          <w:b/>
          <w:i/>
          <w:sz w:val="36"/>
          <w:szCs w:val="36"/>
        </w:rPr>
        <w:t xml:space="preserve">Администрация </w:t>
      </w:r>
    </w:p>
    <w:p w:rsidR="00BA3818" w:rsidRPr="00C62D91" w:rsidRDefault="008001B9" w:rsidP="00BA3818">
      <w:pPr>
        <w:pStyle w:val="ac"/>
        <w:jc w:val="center"/>
        <w:rPr>
          <w:b/>
          <w:i/>
          <w:sz w:val="36"/>
          <w:szCs w:val="36"/>
        </w:rPr>
      </w:pPr>
      <w:r>
        <w:rPr>
          <w:b/>
          <w:i/>
          <w:sz w:val="36"/>
          <w:szCs w:val="36"/>
        </w:rPr>
        <w:t>Великоархангельского</w:t>
      </w:r>
      <w:r w:rsidR="00BA3818" w:rsidRPr="00C62D91">
        <w:rPr>
          <w:b/>
          <w:i/>
          <w:sz w:val="36"/>
          <w:szCs w:val="36"/>
        </w:rPr>
        <w:t xml:space="preserve"> сельского поселения</w:t>
      </w:r>
    </w:p>
    <w:p w:rsidR="00BA3818" w:rsidRPr="00C62D91" w:rsidRDefault="00BA3818" w:rsidP="00BA3818">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BA3818">
      <w:pPr>
        <w:pStyle w:val="ac"/>
        <w:jc w:val="center"/>
        <w:rPr>
          <w:b/>
          <w:i/>
          <w:sz w:val="36"/>
          <w:szCs w:val="36"/>
        </w:rPr>
      </w:pPr>
      <w:r w:rsidRPr="00C62D91">
        <w:rPr>
          <w:b/>
          <w:i/>
          <w:sz w:val="36"/>
          <w:szCs w:val="36"/>
        </w:rPr>
        <w:t>Воронежской области</w:t>
      </w:r>
    </w:p>
    <w:p w:rsidR="00BA3818" w:rsidRPr="00C62D91" w:rsidRDefault="00BA3818" w:rsidP="00BA3818">
      <w:pPr>
        <w:pStyle w:val="ac"/>
        <w:jc w:val="center"/>
        <w:rPr>
          <w:b/>
          <w:i/>
          <w:sz w:val="32"/>
          <w:szCs w:val="32"/>
        </w:rPr>
      </w:pPr>
    </w:p>
    <w:p w:rsidR="00BA3818" w:rsidRPr="00C62D91" w:rsidRDefault="00BA3818" w:rsidP="00BA3818">
      <w:pPr>
        <w:pStyle w:val="ac"/>
        <w:jc w:val="center"/>
        <w:rPr>
          <w:b/>
          <w:i/>
          <w:sz w:val="40"/>
          <w:szCs w:val="40"/>
        </w:rPr>
      </w:pPr>
      <w:r w:rsidRPr="00C62D91">
        <w:rPr>
          <w:b/>
          <w:i/>
          <w:sz w:val="40"/>
          <w:szCs w:val="40"/>
        </w:rPr>
        <w:t>ПОСТАНОВЛЕНИЕ</w:t>
      </w:r>
    </w:p>
    <w:p w:rsidR="00BA3818" w:rsidRDefault="00BA3818" w:rsidP="00BA3818">
      <w:pPr>
        <w:pStyle w:val="13"/>
        <w:jc w:val="center"/>
        <w:rPr>
          <w:rFonts w:ascii="Times New Roman" w:hAnsi="Times New Roman"/>
          <w:sz w:val="32"/>
          <w:szCs w:val="32"/>
        </w:rPr>
      </w:pPr>
    </w:p>
    <w:p w:rsidR="00BA3818" w:rsidRPr="008001B9" w:rsidRDefault="00BA3818" w:rsidP="00BA3818">
      <w:pPr>
        <w:pStyle w:val="13"/>
        <w:rPr>
          <w:rFonts w:ascii="Times New Roman" w:hAnsi="Times New Roman"/>
          <w:sz w:val="26"/>
          <w:szCs w:val="26"/>
          <w:u w:val="single"/>
        </w:rPr>
      </w:pPr>
      <w:r w:rsidRPr="008001B9">
        <w:rPr>
          <w:rFonts w:ascii="Times New Roman" w:hAnsi="Times New Roman"/>
          <w:sz w:val="26"/>
          <w:szCs w:val="26"/>
          <w:u w:val="single"/>
        </w:rPr>
        <w:t xml:space="preserve">от </w:t>
      </w:r>
      <w:r w:rsidR="008001B9" w:rsidRPr="008001B9">
        <w:rPr>
          <w:rFonts w:ascii="Times New Roman" w:hAnsi="Times New Roman"/>
          <w:sz w:val="26"/>
          <w:szCs w:val="26"/>
          <w:u w:val="single"/>
        </w:rPr>
        <w:t xml:space="preserve">27.11.2023 г. </w:t>
      </w:r>
      <w:r w:rsidRPr="008001B9">
        <w:rPr>
          <w:rFonts w:ascii="Times New Roman" w:hAnsi="Times New Roman"/>
          <w:sz w:val="26"/>
          <w:szCs w:val="26"/>
          <w:u w:val="single"/>
        </w:rPr>
        <w:t xml:space="preserve"> № </w:t>
      </w:r>
      <w:r w:rsidR="008001B9" w:rsidRPr="008001B9">
        <w:rPr>
          <w:rFonts w:ascii="Times New Roman" w:hAnsi="Times New Roman"/>
          <w:sz w:val="26"/>
          <w:szCs w:val="26"/>
          <w:u w:val="single"/>
        </w:rPr>
        <w:t>81</w:t>
      </w:r>
    </w:p>
    <w:p w:rsidR="00BA3818" w:rsidRPr="008001B9" w:rsidRDefault="00BA3818" w:rsidP="00BA3818">
      <w:pPr>
        <w:pStyle w:val="13"/>
        <w:rPr>
          <w:rFonts w:ascii="Times New Roman" w:hAnsi="Times New Roman"/>
          <w:sz w:val="20"/>
          <w:szCs w:val="20"/>
        </w:rPr>
      </w:pPr>
      <w:r w:rsidRPr="008001B9">
        <w:rPr>
          <w:rFonts w:ascii="Times New Roman" w:hAnsi="Times New Roman"/>
          <w:sz w:val="20"/>
          <w:szCs w:val="20"/>
        </w:rPr>
        <w:t>с.</w:t>
      </w:r>
      <w:r w:rsidR="008001B9" w:rsidRPr="008001B9">
        <w:rPr>
          <w:rFonts w:ascii="Times New Roman" w:hAnsi="Times New Roman"/>
          <w:sz w:val="20"/>
          <w:szCs w:val="20"/>
        </w:rPr>
        <w:t>Великоархангельское</w:t>
      </w:r>
    </w:p>
    <w:p w:rsidR="00BA3818" w:rsidRPr="00582FEE" w:rsidRDefault="00BA3818" w:rsidP="00BA3818">
      <w:pPr>
        <w:pStyle w:val="Title"/>
        <w:spacing w:before="0" w:after="0"/>
        <w:ind w:firstLine="0"/>
        <w:rPr>
          <w:rFonts w:ascii="Times New Roman" w:hAnsi="Times New Roman" w:cs="Times New Roman"/>
        </w:rPr>
      </w:pPr>
    </w:p>
    <w:p w:rsidR="00BA3818" w:rsidRPr="00EE0BAD" w:rsidRDefault="00BA3818" w:rsidP="00BA3818">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E0BAD">
        <w:rPr>
          <w:rFonts w:ascii="Times New Roman" w:hAnsi="Times New Roman" w:cs="Times New Roman"/>
          <w:sz w:val="28"/>
          <w:szCs w:val="28"/>
        </w:rPr>
        <w:t xml:space="preserve">» на территории </w:t>
      </w:r>
      <w:r w:rsidR="008001B9">
        <w:rPr>
          <w:rFonts w:ascii="Times New Roman" w:hAnsi="Times New Roman" w:cs="Times New Roman"/>
          <w:sz w:val="28"/>
          <w:szCs w:val="28"/>
        </w:rPr>
        <w:t>Великоархангельского</w:t>
      </w:r>
      <w:r w:rsidRPr="00EE0B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BA3818">
      <w:pPr>
        <w:rPr>
          <w:rFonts w:ascii="Times New Roman" w:hAnsi="Times New Roman"/>
          <w:sz w:val="28"/>
          <w:szCs w:val="28"/>
        </w:rPr>
      </w:pPr>
    </w:p>
    <w:p w:rsidR="00BA3818" w:rsidRPr="00854EF6" w:rsidRDefault="00BA3818" w:rsidP="00591BF2">
      <w:pPr>
        <w:ind w:firstLine="709"/>
        <w:jc w:val="both"/>
        <w:rPr>
          <w:rFonts w:ascii="Times New Roman" w:hAnsi="Times New Roman"/>
          <w:sz w:val="28"/>
          <w:szCs w:val="28"/>
        </w:rPr>
      </w:pPr>
      <w:r w:rsidRPr="00E32A0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2A0C">
        <w:rPr>
          <w:rStyle w:val="FontStyle18"/>
          <w:b w:val="0"/>
          <w:sz w:val="28"/>
          <w:szCs w:val="28"/>
        </w:rPr>
        <w:t>,</w:t>
      </w:r>
      <w:r w:rsidRPr="00E32A0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54EF6">
        <w:rPr>
          <w:rFonts w:ascii="Times New Roman" w:hAnsi="Times New Roman"/>
          <w:sz w:val="28"/>
          <w:szCs w:val="28"/>
        </w:rPr>
        <w:t xml:space="preserve">», Уставом </w:t>
      </w:r>
      <w:r w:rsidR="008001B9">
        <w:rPr>
          <w:rFonts w:ascii="Times New Roman" w:hAnsi="Times New Roman"/>
          <w:sz w:val="28"/>
          <w:szCs w:val="28"/>
        </w:rPr>
        <w:t>Великоархангельского</w:t>
      </w:r>
      <w:r w:rsidRPr="00854EF6">
        <w:rPr>
          <w:rFonts w:ascii="Times New Roman" w:hAnsi="Times New Roman"/>
          <w:sz w:val="28"/>
          <w:szCs w:val="28"/>
        </w:rPr>
        <w:t xml:space="preserve"> сельского</w:t>
      </w:r>
      <w:r>
        <w:rPr>
          <w:rFonts w:ascii="Times New Roman" w:hAnsi="Times New Roman"/>
          <w:sz w:val="28"/>
          <w:szCs w:val="28"/>
        </w:rPr>
        <w:t xml:space="preserve"> </w:t>
      </w:r>
      <w:r w:rsidRPr="00854EF6">
        <w:rPr>
          <w:rFonts w:ascii="Times New Roman" w:hAnsi="Times New Roman"/>
          <w:sz w:val="28"/>
          <w:szCs w:val="28"/>
        </w:rPr>
        <w:t xml:space="preserve">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администрация </w:t>
      </w:r>
      <w:r w:rsidR="008001B9" w:rsidRPr="008001B9">
        <w:rPr>
          <w:rFonts w:ascii="Times New Roman" w:hAnsi="Times New Roman"/>
          <w:sz w:val="28"/>
          <w:szCs w:val="28"/>
        </w:rPr>
        <w:t>Великоархангельского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BA3818" w:rsidRPr="00582FEE" w:rsidRDefault="00BA3818" w:rsidP="00591BF2">
      <w:pPr>
        <w:pStyle w:val="ac"/>
        <w:widowControl w:val="0"/>
        <w:tabs>
          <w:tab w:val="left" w:pos="0"/>
        </w:tabs>
        <w:autoSpaceDE w:val="0"/>
        <w:autoSpaceDN w:val="0"/>
        <w:adjustRightInd w:val="0"/>
        <w:ind w:firstLine="709"/>
        <w:jc w:val="both"/>
      </w:pPr>
    </w:p>
    <w:p w:rsidR="00BA3818" w:rsidRPr="00582FEE" w:rsidRDefault="00BA3818" w:rsidP="00591BF2">
      <w:pPr>
        <w:pStyle w:val="ac"/>
        <w:widowControl w:val="0"/>
        <w:tabs>
          <w:tab w:val="left" w:pos="0"/>
        </w:tabs>
        <w:autoSpaceDE w:val="0"/>
        <w:autoSpaceDN w:val="0"/>
        <w:adjustRightInd w:val="0"/>
        <w:ind w:firstLine="709"/>
        <w:jc w:val="both"/>
        <w:rPr>
          <w:b/>
        </w:rPr>
      </w:pPr>
      <w:r w:rsidRPr="00582FEE">
        <w:rPr>
          <w:b/>
        </w:rPr>
        <w:t>ПОСТАНОВЛЯЕТ:</w:t>
      </w:r>
    </w:p>
    <w:p w:rsidR="00BA3818" w:rsidRPr="00582FEE" w:rsidRDefault="00BA3818" w:rsidP="00591BF2">
      <w:pPr>
        <w:pStyle w:val="ac"/>
        <w:widowControl w:val="0"/>
        <w:tabs>
          <w:tab w:val="left" w:pos="0"/>
        </w:tabs>
        <w:autoSpaceDE w:val="0"/>
        <w:autoSpaceDN w:val="0"/>
        <w:adjustRightInd w:val="0"/>
        <w:ind w:firstLine="709"/>
        <w:jc w:val="both"/>
        <w:rPr>
          <w:lang w:eastAsia="ru-RU"/>
        </w:rPr>
      </w:pPr>
    </w:p>
    <w:p w:rsidR="00BA3818" w:rsidRPr="00854EF6" w:rsidRDefault="00BA3818" w:rsidP="00591BF2">
      <w:pPr>
        <w:ind w:firstLine="709"/>
        <w:jc w:val="both"/>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Утвердить административный регламент по предоставлению Муниципальной услуги «</w:t>
      </w:r>
      <w:r w:rsidRPr="00EF2C36">
        <w:rPr>
          <w:rFonts w:ascii="Times New Roman" w:hAnsi="Times New Roman" w:cs="Times New Roman"/>
          <w:sz w:val="28"/>
          <w:szCs w:val="28"/>
        </w:rPr>
        <w:t xml:space="preserve">Выдача разрешения на использование земель или </w:t>
      </w:r>
      <w:r w:rsidRPr="00EF2C36">
        <w:rPr>
          <w:rFonts w:ascii="Times New Roman" w:hAnsi="Times New Roman" w:cs="Times New Roman"/>
          <w:sz w:val="28"/>
          <w:szCs w:val="28"/>
        </w:rPr>
        <w:lastRenderedPageBreak/>
        <w:t>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54EF6">
        <w:rPr>
          <w:rFonts w:ascii="Times New Roman" w:hAnsi="Times New Roman"/>
          <w:sz w:val="28"/>
          <w:szCs w:val="28"/>
        </w:rPr>
        <w:t xml:space="preserve">» на территории </w:t>
      </w:r>
      <w:r w:rsidR="008001B9" w:rsidRPr="008001B9">
        <w:rPr>
          <w:rFonts w:ascii="Times New Roman" w:hAnsi="Times New Roman"/>
          <w:sz w:val="28"/>
          <w:szCs w:val="28"/>
        </w:rPr>
        <w:t>Великоархангельского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w:t>
      </w:r>
      <w:r w:rsidR="008001B9" w:rsidRPr="00854EF6">
        <w:rPr>
          <w:rFonts w:ascii="Times New Roman" w:hAnsi="Times New Roman"/>
          <w:sz w:val="28"/>
          <w:szCs w:val="28"/>
        </w:rPr>
        <w:t>приложению,</w:t>
      </w:r>
      <w:r w:rsidRPr="00854EF6">
        <w:rPr>
          <w:rFonts w:ascii="Times New Roman" w:hAnsi="Times New Roman"/>
          <w:sz w:val="28"/>
          <w:szCs w:val="28"/>
        </w:rPr>
        <w:t xml:space="preserve"> к настоящему постановлению.</w:t>
      </w:r>
    </w:p>
    <w:p w:rsidR="00BA3818" w:rsidRDefault="00BA3818" w:rsidP="00591BF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8001B9" w:rsidRPr="008001B9">
        <w:rPr>
          <w:rFonts w:ascii="Times New Roman" w:hAnsi="Times New Roman"/>
          <w:sz w:val="28"/>
          <w:szCs w:val="28"/>
        </w:rPr>
        <w:t>Великоархангельского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591BF2" w:rsidRPr="003464AD" w:rsidRDefault="00591BF2" w:rsidP="00591BF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от </w:t>
      </w:r>
      <w:r w:rsidR="004D14DB">
        <w:rPr>
          <w:rFonts w:ascii="Times New Roman" w:hAnsi="Times New Roman" w:cs="Times New Roman"/>
          <w:sz w:val="28"/>
          <w:szCs w:val="28"/>
        </w:rPr>
        <w:t>22.12.2015г. №142</w:t>
      </w:r>
      <w:r w:rsidRPr="003464AD">
        <w:rPr>
          <w:rFonts w:ascii="Times New Roman" w:hAnsi="Times New Roman" w:cs="Times New Roman"/>
          <w:sz w:val="28"/>
          <w:szCs w:val="28"/>
        </w:rPr>
        <w:t xml:space="preserve"> «Об утверждении административного регламента администрации </w:t>
      </w:r>
      <w:r w:rsidR="004D14DB" w:rsidRPr="004D14DB">
        <w:rPr>
          <w:rFonts w:ascii="Times New Roman" w:hAnsi="Times New Roman" w:cs="Times New Roman"/>
          <w:sz w:val="28"/>
          <w:szCs w:val="28"/>
        </w:rPr>
        <w:t>Великоархангельского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91BF2" w:rsidRPr="003464AD" w:rsidRDefault="00591BF2" w:rsidP="00591BF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w:t>
      </w:r>
      <w:r w:rsidR="003464AD" w:rsidRPr="003464AD">
        <w:rPr>
          <w:rFonts w:ascii="Times New Roman" w:hAnsi="Times New Roman" w:cs="Times New Roman"/>
          <w:sz w:val="28"/>
          <w:szCs w:val="28"/>
        </w:rPr>
        <w:t>от</w:t>
      </w:r>
      <w:r w:rsidRPr="003464AD">
        <w:rPr>
          <w:rFonts w:ascii="Times New Roman" w:hAnsi="Times New Roman" w:cs="Times New Roman"/>
          <w:sz w:val="28"/>
          <w:szCs w:val="28"/>
        </w:rPr>
        <w:t xml:space="preserve"> </w:t>
      </w:r>
      <w:r w:rsidR="00531ADD">
        <w:rPr>
          <w:rFonts w:ascii="Times New Roman" w:hAnsi="Times New Roman" w:cs="Times New Roman"/>
          <w:sz w:val="28"/>
          <w:szCs w:val="28"/>
        </w:rPr>
        <w:t>24.02.</w:t>
      </w:r>
      <w:r w:rsidRPr="003464AD">
        <w:rPr>
          <w:rFonts w:ascii="Times New Roman" w:hAnsi="Times New Roman" w:cs="Times New Roman"/>
          <w:sz w:val="28"/>
          <w:szCs w:val="28"/>
        </w:rPr>
        <w:t>2016</w:t>
      </w:r>
      <w:r w:rsidR="00531ADD">
        <w:rPr>
          <w:rFonts w:ascii="Times New Roman" w:hAnsi="Times New Roman" w:cs="Times New Roman"/>
          <w:sz w:val="28"/>
          <w:szCs w:val="28"/>
        </w:rPr>
        <w:t>г.</w:t>
      </w:r>
      <w:r w:rsidRPr="003464AD">
        <w:rPr>
          <w:rFonts w:ascii="Times New Roman" w:hAnsi="Times New Roman" w:cs="Times New Roman"/>
          <w:sz w:val="28"/>
          <w:szCs w:val="28"/>
        </w:rPr>
        <w:t xml:space="preserve"> №</w:t>
      </w:r>
      <w:r w:rsidR="00531ADD">
        <w:rPr>
          <w:rFonts w:ascii="Times New Roman" w:hAnsi="Times New Roman" w:cs="Times New Roman"/>
          <w:sz w:val="28"/>
          <w:szCs w:val="28"/>
        </w:rPr>
        <w:t>13</w:t>
      </w:r>
      <w:r w:rsidRPr="003464AD">
        <w:rPr>
          <w:rFonts w:ascii="Times New Roman" w:hAnsi="Times New Roman" w:cs="Times New Roman"/>
          <w:sz w:val="28"/>
          <w:szCs w:val="28"/>
        </w:rPr>
        <w:t xml:space="preserve"> «О внесении изменений в постановление администрации </w:t>
      </w:r>
      <w:r w:rsidR="004D14DB" w:rsidRPr="004D14DB">
        <w:rPr>
          <w:rFonts w:ascii="Times New Roman" w:hAnsi="Times New Roman" w:cs="Times New Roman"/>
          <w:sz w:val="28"/>
          <w:szCs w:val="28"/>
        </w:rPr>
        <w:t>Великоархангельского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4D14DB">
        <w:rPr>
          <w:rFonts w:ascii="Times New Roman" w:hAnsi="Times New Roman" w:cs="Times New Roman"/>
          <w:sz w:val="28"/>
          <w:szCs w:val="28"/>
        </w:rPr>
        <w:t>22.12</w:t>
      </w:r>
      <w:r w:rsidRPr="003464AD">
        <w:rPr>
          <w:rFonts w:ascii="Times New Roman" w:hAnsi="Times New Roman" w:cs="Times New Roman"/>
          <w:sz w:val="28"/>
          <w:szCs w:val="28"/>
        </w:rPr>
        <w:t xml:space="preserve">.2015 г. № </w:t>
      </w:r>
      <w:r w:rsidR="004D14DB">
        <w:rPr>
          <w:rFonts w:ascii="Times New Roman" w:hAnsi="Times New Roman" w:cs="Times New Roman"/>
          <w:sz w:val="28"/>
          <w:szCs w:val="28"/>
        </w:rPr>
        <w:t>142</w:t>
      </w:r>
      <w:r w:rsidRPr="003464AD">
        <w:rPr>
          <w:rFonts w:ascii="Times New Roman" w:hAnsi="Times New Roman" w:cs="Times New Roman"/>
          <w:sz w:val="28"/>
          <w:szCs w:val="28"/>
        </w:rPr>
        <w:t xml:space="preserve"> «Об утверждении административного регламента администрации </w:t>
      </w:r>
      <w:r w:rsidR="004D14DB" w:rsidRPr="004D14DB">
        <w:rPr>
          <w:rFonts w:ascii="Times New Roman" w:hAnsi="Times New Roman" w:cs="Times New Roman"/>
          <w:sz w:val="28"/>
          <w:szCs w:val="28"/>
        </w:rPr>
        <w:t>Великоархангельского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531ADD">
        <w:rPr>
          <w:rFonts w:ascii="Times New Roman" w:hAnsi="Times New Roman" w:cs="Times New Roman"/>
          <w:sz w:val="28"/>
          <w:szCs w:val="28"/>
        </w:rPr>
        <w:t>30.04.2019г. №26</w:t>
      </w:r>
      <w:r w:rsidR="00591BF2" w:rsidRPr="003464AD">
        <w:rPr>
          <w:rFonts w:ascii="Times New Roman" w:hAnsi="Times New Roman" w:cs="Times New Roman"/>
          <w:sz w:val="28"/>
          <w:szCs w:val="28"/>
        </w:rPr>
        <w:t xml:space="preserve"> «О внесении изменений в постановление администрации </w:t>
      </w:r>
      <w:r w:rsidR="004D14DB" w:rsidRPr="004D14DB">
        <w:rPr>
          <w:rFonts w:ascii="Times New Roman" w:hAnsi="Times New Roman" w:cs="Times New Roman"/>
          <w:sz w:val="28"/>
          <w:szCs w:val="28"/>
        </w:rPr>
        <w:t>Великоархангельского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4D14DB">
        <w:rPr>
          <w:rFonts w:ascii="Times New Roman" w:hAnsi="Times New Roman" w:cs="Times New Roman"/>
          <w:sz w:val="28"/>
          <w:szCs w:val="28"/>
        </w:rPr>
        <w:t>22.12</w:t>
      </w:r>
      <w:r w:rsidR="00591BF2" w:rsidRPr="003464AD">
        <w:rPr>
          <w:rFonts w:ascii="Times New Roman" w:hAnsi="Times New Roman" w:cs="Times New Roman"/>
          <w:sz w:val="28"/>
          <w:szCs w:val="28"/>
        </w:rPr>
        <w:t xml:space="preserve">.2015 г. № </w:t>
      </w:r>
      <w:r w:rsidR="004D14DB">
        <w:rPr>
          <w:rFonts w:ascii="Times New Roman" w:hAnsi="Times New Roman" w:cs="Times New Roman"/>
          <w:sz w:val="28"/>
          <w:szCs w:val="28"/>
        </w:rPr>
        <w:t>142</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4D14DB" w:rsidRPr="004D14DB">
        <w:rPr>
          <w:rFonts w:ascii="Times New Roman" w:hAnsi="Times New Roman" w:cs="Times New Roman"/>
          <w:sz w:val="28"/>
          <w:szCs w:val="28"/>
        </w:rPr>
        <w:t>Великоархангельского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531ADD">
        <w:rPr>
          <w:rFonts w:ascii="Times New Roman" w:hAnsi="Times New Roman" w:cs="Times New Roman"/>
          <w:sz w:val="28"/>
          <w:szCs w:val="28"/>
        </w:rPr>
        <w:t>31.03.</w:t>
      </w:r>
      <w:r w:rsidR="00591BF2" w:rsidRPr="003464AD">
        <w:rPr>
          <w:rFonts w:ascii="Times New Roman" w:hAnsi="Times New Roman" w:cs="Times New Roman"/>
          <w:sz w:val="28"/>
          <w:szCs w:val="28"/>
        </w:rPr>
        <w:t>2022</w:t>
      </w:r>
      <w:r w:rsidR="00531ADD">
        <w:rPr>
          <w:rFonts w:ascii="Times New Roman" w:hAnsi="Times New Roman" w:cs="Times New Roman"/>
          <w:sz w:val="28"/>
          <w:szCs w:val="28"/>
        </w:rPr>
        <w:t>г.</w:t>
      </w:r>
      <w:r w:rsidR="00591BF2" w:rsidRPr="003464AD">
        <w:rPr>
          <w:rFonts w:ascii="Times New Roman" w:hAnsi="Times New Roman" w:cs="Times New Roman"/>
          <w:sz w:val="28"/>
          <w:szCs w:val="28"/>
        </w:rPr>
        <w:t xml:space="preserve"> № </w:t>
      </w:r>
      <w:r w:rsidR="00531ADD">
        <w:rPr>
          <w:rFonts w:ascii="Times New Roman" w:hAnsi="Times New Roman" w:cs="Times New Roman"/>
          <w:sz w:val="28"/>
          <w:szCs w:val="28"/>
        </w:rPr>
        <w:t>15</w:t>
      </w:r>
      <w:r w:rsidR="00591BF2" w:rsidRPr="003464AD">
        <w:rPr>
          <w:rFonts w:ascii="Times New Roman" w:hAnsi="Times New Roman" w:cs="Times New Roman"/>
          <w:sz w:val="28"/>
          <w:szCs w:val="28"/>
        </w:rPr>
        <w:t xml:space="preserve"> «О внесении изменений в постановление администрации </w:t>
      </w:r>
      <w:r w:rsidR="004D14DB" w:rsidRPr="004D14DB">
        <w:rPr>
          <w:rFonts w:ascii="Times New Roman" w:hAnsi="Times New Roman" w:cs="Times New Roman"/>
          <w:sz w:val="28"/>
          <w:szCs w:val="28"/>
        </w:rPr>
        <w:t>Великоархангельского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4D14DB">
        <w:rPr>
          <w:rFonts w:ascii="Times New Roman" w:hAnsi="Times New Roman" w:cs="Times New Roman"/>
          <w:sz w:val="28"/>
          <w:szCs w:val="28"/>
        </w:rPr>
        <w:t>22.12</w:t>
      </w:r>
      <w:r w:rsidR="00591BF2" w:rsidRPr="003464AD">
        <w:rPr>
          <w:rFonts w:ascii="Times New Roman" w:hAnsi="Times New Roman" w:cs="Times New Roman"/>
          <w:sz w:val="28"/>
          <w:szCs w:val="28"/>
        </w:rPr>
        <w:t xml:space="preserve">.2015 г. № </w:t>
      </w:r>
      <w:r w:rsidR="004D14DB">
        <w:rPr>
          <w:rFonts w:ascii="Times New Roman" w:hAnsi="Times New Roman" w:cs="Times New Roman"/>
          <w:sz w:val="28"/>
          <w:szCs w:val="28"/>
        </w:rPr>
        <w:t>142</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4D14DB" w:rsidRPr="004D14DB">
        <w:rPr>
          <w:rFonts w:ascii="Times New Roman" w:hAnsi="Times New Roman" w:cs="Times New Roman"/>
          <w:sz w:val="28"/>
          <w:szCs w:val="28"/>
        </w:rPr>
        <w:t>Великоархангельского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531ADD">
        <w:rPr>
          <w:rFonts w:ascii="Times New Roman" w:hAnsi="Times New Roman" w:cs="Times New Roman"/>
          <w:sz w:val="28"/>
          <w:szCs w:val="28"/>
        </w:rPr>
        <w:t>04.10.</w:t>
      </w:r>
      <w:r w:rsidR="00591BF2" w:rsidRPr="003464AD">
        <w:rPr>
          <w:rFonts w:ascii="Times New Roman" w:hAnsi="Times New Roman" w:cs="Times New Roman"/>
          <w:sz w:val="28"/>
          <w:szCs w:val="28"/>
        </w:rPr>
        <w:t>2022</w:t>
      </w:r>
      <w:r w:rsidR="00531ADD">
        <w:rPr>
          <w:rFonts w:ascii="Times New Roman" w:hAnsi="Times New Roman" w:cs="Times New Roman"/>
          <w:sz w:val="28"/>
          <w:szCs w:val="28"/>
        </w:rPr>
        <w:t>г.</w:t>
      </w:r>
      <w:r w:rsidR="00591BF2" w:rsidRPr="003464AD">
        <w:rPr>
          <w:rFonts w:ascii="Times New Roman" w:hAnsi="Times New Roman" w:cs="Times New Roman"/>
          <w:sz w:val="28"/>
          <w:szCs w:val="28"/>
        </w:rPr>
        <w:t xml:space="preserve"> № </w:t>
      </w:r>
      <w:r w:rsidR="00531ADD">
        <w:rPr>
          <w:rFonts w:ascii="Times New Roman" w:hAnsi="Times New Roman" w:cs="Times New Roman"/>
          <w:sz w:val="28"/>
          <w:szCs w:val="28"/>
        </w:rPr>
        <w:t>36</w:t>
      </w:r>
      <w:r w:rsidR="00591BF2" w:rsidRPr="003464AD">
        <w:rPr>
          <w:rFonts w:ascii="Times New Roman" w:hAnsi="Times New Roman" w:cs="Times New Roman"/>
          <w:sz w:val="28"/>
          <w:szCs w:val="28"/>
        </w:rPr>
        <w:t xml:space="preserve"> «О внесении изменений в постановление администрации </w:t>
      </w:r>
      <w:r w:rsidR="004D14DB" w:rsidRPr="004D14DB">
        <w:rPr>
          <w:rFonts w:ascii="Times New Roman" w:hAnsi="Times New Roman" w:cs="Times New Roman"/>
          <w:sz w:val="28"/>
          <w:szCs w:val="28"/>
        </w:rPr>
        <w:t>Великоархангельского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4D14DB">
        <w:rPr>
          <w:rFonts w:ascii="Times New Roman" w:hAnsi="Times New Roman" w:cs="Times New Roman"/>
          <w:sz w:val="28"/>
          <w:szCs w:val="28"/>
        </w:rPr>
        <w:t>22.12.2015 г. № 142</w:t>
      </w:r>
      <w:r w:rsidR="00591BF2" w:rsidRPr="003464AD">
        <w:rPr>
          <w:rFonts w:ascii="Times New Roman" w:hAnsi="Times New Roman" w:cs="Times New Roman"/>
          <w:sz w:val="28"/>
          <w:szCs w:val="28"/>
        </w:rPr>
        <w:t xml:space="preserve"> «Об </w:t>
      </w:r>
      <w:r w:rsidR="00591BF2" w:rsidRPr="003464AD">
        <w:rPr>
          <w:rFonts w:ascii="Times New Roman" w:hAnsi="Times New Roman" w:cs="Times New Roman"/>
          <w:sz w:val="28"/>
          <w:szCs w:val="28"/>
        </w:rPr>
        <w:lastRenderedPageBreak/>
        <w:t xml:space="preserve">утверждении административного регламента администрации </w:t>
      </w:r>
      <w:r w:rsidR="004D14DB" w:rsidRPr="004D14DB">
        <w:rPr>
          <w:rFonts w:ascii="Times New Roman" w:hAnsi="Times New Roman" w:cs="Times New Roman"/>
          <w:sz w:val="28"/>
          <w:szCs w:val="28"/>
        </w:rPr>
        <w:t>Великоархангельского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591BF2" w:rsidRPr="003464AD">
        <w:rPr>
          <w:rFonts w:ascii="Times New Roman" w:hAnsi="Times New Roman" w:cs="Times New Roman"/>
          <w:sz w:val="28"/>
          <w:szCs w:val="28"/>
        </w:rPr>
        <w:t xml:space="preserve"> </w:t>
      </w:r>
      <w:r w:rsidR="00ED70F1">
        <w:rPr>
          <w:rFonts w:ascii="Times New Roman" w:hAnsi="Times New Roman" w:cs="Times New Roman"/>
          <w:sz w:val="28"/>
          <w:szCs w:val="28"/>
        </w:rPr>
        <w:t>17.03.</w:t>
      </w:r>
      <w:r w:rsidR="00591BF2" w:rsidRPr="003464AD">
        <w:rPr>
          <w:rFonts w:ascii="Times New Roman" w:hAnsi="Times New Roman" w:cs="Times New Roman"/>
          <w:sz w:val="28"/>
          <w:szCs w:val="28"/>
        </w:rPr>
        <w:t>2023</w:t>
      </w:r>
      <w:r w:rsidR="00ED70F1">
        <w:rPr>
          <w:rFonts w:ascii="Times New Roman" w:hAnsi="Times New Roman" w:cs="Times New Roman"/>
          <w:sz w:val="28"/>
          <w:szCs w:val="28"/>
        </w:rPr>
        <w:t>г.</w:t>
      </w:r>
      <w:r w:rsidR="00591BF2" w:rsidRPr="003464AD">
        <w:rPr>
          <w:rFonts w:ascii="Times New Roman" w:hAnsi="Times New Roman" w:cs="Times New Roman"/>
          <w:sz w:val="28"/>
          <w:szCs w:val="28"/>
        </w:rPr>
        <w:t xml:space="preserve"> № </w:t>
      </w:r>
      <w:r w:rsidR="00ED70F1">
        <w:rPr>
          <w:rFonts w:ascii="Times New Roman" w:hAnsi="Times New Roman" w:cs="Times New Roman"/>
          <w:sz w:val="28"/>
          <w:szCs w:val="28"/>
        </w:rPr>
        <w:t>25</w:t>
      </w:r>
      <w:r w:rsidR="00591BF2" w:rsidRPr="003464AD">
        <w:rPr>
          <w:rFonts w:ascii="Times New Roman" w:hAnsi="Times New Roman" w:cs="Times New Roman"/>
          <w:sz w:val="28"/>
          <w:szCs w:val="28"/>
        </w:rPr>
        <w:t xml:space="preserve"> «О внесении изменений в постановление администрации </w:t>
      </w:r>
      <w:r w:rsidR="004D14DB" w:rsidRPr="004D14DB">
        <w:rPr>
          <w:rFonts w:ascii="Times New Roman" w:hAnsi="Times New Roman" w:cs="Times New Roman"/>
          <w:sz w:val="28"/>
          <w:szCs w:val="28"/>
        </w:rPr>
        <w:t>Великоархангельского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4D14DB">
        <w:rPr>
          <w:rFonts w:ascii="Times New Roman" w:hAnsi="Times New Roman" w:cs="Times New Roman"/>
          <w:sz w:val="28"/>
          <w:szCs w:val="28"/>
        </w:rPr>
        <w:t>22.12</w:t>
      </w:r>
      <w:r w:rsidR="00591BF2" w:rsidRPr="003464AD">
        <w:rPr>
          <w:rFonts w:ascii="Times New Roman" w:hAnsi="Times New Roman" w:cs="Times New Roman"/>
          <w:sz w:val="28"/>
          <w:szCs w:val="28"/>
        </w:rPr>
        <w:t xml:space="preserve">.2015 г. № </w:t>
      </w:r>
      <w:r w:rsidR="004D14DB">
        <w:rPr>
          <w:rFonts w:ascii="Times New Roman" w:hAnsi="Times New Roman" w:cs="Times New Roman"/>
          <w:sz w:val="28"/>
          <w:szCs w:val="28"/>
        </w:rPr>
        <w:t>142</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4D14DB" w:rsidRPr="004D14DB">
        <w:rPr>
          <w:rFonts w:ascii="Times New Roman" w:hAnsi="Times New Roman" w:cs="Times New Roman"/>
          <w:sz w:val="28"/>
          <w:szCs w:val="28"/>
        </w:rPr>
        <w:t>Великоархангельского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A3818" w:rsidRDefault="00BA3818" w:rsidP="00591BF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591BF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591BF2">
      <w:pPr>
        <w:ind w:firstLine="709"/>
        <w:jc w:val="both"/>
        <w:rPr>
          <w:rFonts w:ascii="Times New Roman" w:hAnsi="Times New Roman"/>
          <w:sz w:val="28"/>
          <w:szCs w:val="28"/>
        </w:rPr>
      </w:pPr>
    </w:p>
    <w:p w:rsidR="00BA3818" w:rsidRDefault="00BA3818" w:rsidP="00591BF2">
      <w:pPr>
        <w:ind w:firstLine="709"/>
        <w:jc w:val="both"/>
        <w:rPr>
          <w:rFonts w:ascii="Times New Roman" w:hAnsi="Times New Roman"/>
          <w:sz w:val="28"/>
          <w:szCs w:val="28"/>
        </w:rPr>
      </w:pPr>
    </w:p>
    <w:p w:rsidR="00ED70F1" w:rsidRPr="00582FEE" w:rsidRDefault="00ED70F1" w:rsidP="00591BF2">
      <w:pPr>
        <w:ind w:firstLine="709"/>
        <w:jc w:val="both"/>
        <w:rPr>
          <w:rFonts w:ascii="Times New Roman" w:hAnsi="Times New Roman"/>
          <w:sz w:val="28"/>
          <w:szCs w:val="28"/>
        </w:rPr>
      </w:pPr>
    </w:p>
    <w:p w:rsidR="00BA3818" w:rsidRPr="00582FEE" w:rsidRDefault="00BA3818" w:rsidP="00591BF2">
      <w:pPr>
        <w:ind w:left="3969" w:firstLine="709"/>
        <w:jc w:val="both"/>
        <w:rPr>
          <w:rFonts w:ascii="Times New Roman" w:hAnsi="Times New Roman"/>
          <w:sz w:val="28"/>
          <w:szCs w:val="28"/>
        </w:rPr>
      </w:pPr>
    </w:p>
    <w:p w:rsidR="005C468B" w:rsidRPr="005C468B" w:rsidRDefault="005C468B" w:rsidP="005C468B">
      <w:pPr>
        <w:autoSpaceDE w:val="0"/>
        <w:autoSpaceDN w:val="0"/>
        <w:adjustRightInd w:val="0"/>
        <w:ind w:left="851"/>
        <w:jc w:val="both"/>
        <w:rPr>
          <w:rFonts w:ascii="Times New Roman" w:eastAsia="Times New Roman" w:hAnsi="Times New Roman" w:cs="Times New Roman"/>
          <w:color w:val="auto"/>
          <w:sz w:val="28"/>
          <w:szCs w:val="28"/>
          <w:lang w:bidi="ar-SA"/>
        </w:rPr>
      </w:pPr>
      <w:r w:rsidRPr="005C468B">
        <w:rPr>
          <w:rFonts w:ascii="Times New Roman" w:eastAsia="Times New Roman" w:hAnsi="Times New Roman" w:cs="Times New Roman"/>
          <w:color w:val="auto"/>
          <w:sz w:val="28"/>
          <w:szCs w:val="28"/>
          <w:lang w:bidi="ar-SA"/>
        </w:rPr>
        <w:t xml:space="preserve">Глава Великоархангельского </w:t>
      </w:r>
    </w:p>
    <w:p w:rsidR="005C468B" w:rsidRPr="005C468B" w:rsidRDefault="005C468B" w:rsidP="005C468B">
      <w:pPr>
        <w:autoSpaceDE w:val="0"/>
        <w:autoSpaceDN w:val="0"/>
        <w:adjustRightInd w:val="0"/>
        <w:ind w:left="851"/>
        <w:jc w:val="both"/>
        <w:rPr>
          <w:rFonts w:ascii="Times New Roman" w:eastAsia="Times New Roman" w:hAnsi="Times New Roman" w:cs="Times New Roman"/>
          <w:color w:val="auto"/>
          <w:sz w:val="28"/>
          <w:szCs w:val="28"/>
          <w:lang w:bidi="ar-SA"/>
        </w:rPr>
      </w:pPr>
      <w:r w:rsidRPr="005C468B">
        <w:rPr>
          <w:rFonts w:ascii="Times New Roman" w:eastAsia="Times New Roman" w:hAnsi="Times New Roman" w:cs="Times New Roman"/>
          <w:color w:val="auto"/>
          <w:sz w:val="28"/>
          <w:szCs w:val="28"/>
          <w:lang w:bidi="ar-SA"/>
        </w:rPr>
        <w:t>сельского поселения</w:t>
      </w:r>
      <w:r w:rsidRPr="005C468B">
        <w:rPr>
          <w:rFonts w:ascii="Times New Roman" w:eastAsia="Times New Roman" w:hAnsi="Times New Roman" w:cs="Times New Roman"/>
          <w:color w:val="auto"/>
          <w:sz w:val="28"/>
          <w:szCs w:val="28"/>
          <w:lang w:bidi="ar-SA"/>
        </w:rPr>
        <w:tab/>
      </w:r>
      <w:r w:rsidRPr="005C468B">
        <w:rPr>
          <w:rFonts w:ascii="Times New Roman" w:eastAsia="Times New Roman" w:hAnsi="Times New Roman" w:cs="Times New Roman"/>
          <w:color w:val="auto"/>
          <w:sz w:val="28"/>
          <w:szCs w:val="28"/>
          <w:lang w:bidi="ar-SA"/>
        </w:rPr>
        <w:tab/>
      </w:r>
      <w:r w:rsidRPr="005C468B">
        <w:rPr>
          <w:rFonts w:ascii="Times New Roman" w:eastAsia="Times New Roman" w:hAnsi="Times New Roman" w:cs="Times New Roman"/>
          <w:color w:val="auto"/>
          <w:sz w:val="28"/>
          <w:szCs w:val="28"/>
          <w:lang w:bidi="ar-SA"/>
        </w:rPr>
        <w:tab/>
      </w:r>
      <w:r w:rsidRPr="005C468B">
        <w:rPr>
          <w:rFonts w:ascii="Times New Roman" w:eastAsia="Times New Roman" w:hAnsi="Times New Roman" w:cs="Times New Roman"/>
          <w:color w:val="auto"/>
          <w:sz w:val="28"/>
          <w:szCs w:val="28"/>
          <w:lang w:bidi="ar-SA"/>
        </w:rPr>
        <w:tab/>
      </w:r>
      <w:r w:rsidRPr="005C468B">
        <w:rPr>
          <w:rFonts w:ascii="Times New Roman" w:eastAsia="Times New Roman" w:hAnsi="Times New Roman" w:cs="Times New Roman"/>
          <w:color w:val="auto"/>
          <w:sz w:val="28"/>
          <w:szCs w:val="28"/>
          <w:lang w:bidi="ar-SA"/>
        </w:rPr>
        <w:tab/>
        <w:t>О.В. Моклякова</w:t>
      </w:r>
    </w:p>
    <w:p w:rsidR="00BA3818" w:rsidRPr="00D50FF1" w:rsidRDefault="00BA3818" w:rsidP="00591BF2">
      <w:pPr>
        <w:tabs>
          <w:tab w:val="left" w:pos="0"/>
        </w:tabs>
        <w:ind w:firstLine="709"/>
        <w:jc w:val="both"/>
        <w:rPr>
          <w:rFonts w:ascii="Times New Roman" w:hAnsi="Times New Roman"/>
          <w:b/>
          <w:i/>
          <w:sz w:val="28"/>
          <w:szCs w:val="28"/>
        </w:rPr>
      </w:pPr>
    </w:p>
    <w:p w:rsidR="00BA3818" w:rsidRPr="00582FEE" w:rsidRDefault="00BA3818" w:rsidP="00BA3818">
      <w:pPr>
        <w:ind w:left="5103"/>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BA3818" w:rsidRPr="00582FEE" w:rsidRDefault="00BA3818" w:rsidP="00BA3818">
      <w:pPr>
        <w:ind w:left="5103"/>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4D14DB" w:rsidP="00BA3818">
      <w:pPr>
        <w:ind w:left="5103"/>
        <w:rPr>
          <w:rFonts w:ascii="Times New Roman" w:hAnsi="Times New Roman"/>
          <w:sz w:val="28"/>
          <w:szCs w:val="28"/>
        </w:rPr>
      </w:pPr>
      <w:r w:rsidRPr="004D14DB">
        <w:rPr>
          <w:rFonts w:ascii="Times New Roman" w:hAnsi="Times New Roman"/>
          <w:sz w:val="28"/>
          <w:szCs w:val="28"/>
        </w:rPr>
        <w:t>Великоархангельского</w:t>
      </w:r>
      <w:r w:rsidR="00BA3818" w:rsidRPr="00582FEE">
        <w:rPr>
          <w:rFonts w:ascii="Times New Roman" w:hAnsi="Times New Roman"/>
          <w:sz w:val="28"/>
          <w:szCs w:val="28"/>
        </w:rPr>
        <w:t xml:space="preserve"> сельского поселения</w:t>
      </w:r>
      <w:r w:rsidR="00BA3818">
        <w:rPr>
          <w:rFonts w:ascii="Times New Roman" w:hAnsi="Times New Roman"/>
          <w:sz w:val="28"/>
          <w:szCs w:val="28"/>
        </w:rPr>
        <w:t xml:space="preserve"> </w:t>
      </w:r>
    </w:p>
    <w:p w:rsidR="00BA3818" w:rsidRPr="00582FEE" w:rsidRDefault="00BA3818" w:rsidP="00BA3818">
      <w:pPr>
        <w:ind w:left="5103"/>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BA3818">
      <w:pPr>
        <w:ind w:left="5103"/>
        <w:rPr>
          <w:rFonts w:ascii="Times New Roman" w:hAnsi="Times New Roman"/>
          <w:sz w:val="28"/>
          <w:szCs w:val="28"/>
        </w:rPr>
      </w:pPr>
      <w:r w:rsidRPr="00582FEE">
        <w:rPr>
          <w:rFonts w:ascii="Times New Roman" w:hAnsi="Times New Roman"/>
          <w:sz w:val="28"/>
          <w:szCs w:val="28"/>
        </w:rPr>
        <w:t>от «</w:t>
      </w:r>
      <w:r w:rsidR="004D14DB">
        <w:rPr>
          <w:rFonts w:ascii="Times New Roman" w:hAnsi="Times New Roman"/>
          <w:sz w:val="28"/>
          <w:szCs w:val="28"/>
        </w:rPr>
        <w:t>27</w:t>
      </w:r>
      <w:r w:rsidRPr="00582FEE">
        <w:rPr>
          <w:rFonts w:ascii="Times New Roman" w:hAnsi="Times New Roman"/>
          <w:sz w:val="28"/>
          <w:szCs w:val="28"/>
        </w:rPr>
        <w:t>»</w:t>
      </w:r>
      <w:r w:rsidR="004D14DB">
        <w:rPr>
          <w:rFonts w:ascii="Times New Roman" w:hAnsi="Times New Roman"/>
          <w:sz w:val="28"/>
          <w:szCs w:val="28"/>
        </w:rPr>
        <w:t xml:space="preserve"> ноября </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w:t>
      </w:r>
      <w:r w:rsidR="004D14DB">
        <w:rPr>
          <w:rFonts w:ascii="Times New Roman" w:hAnsi="Times New Roman"/>
          <w:sz w:val="28"/>
          <w:szCs w:val="28"/>
        </w:rPr>
        <w:t>81</w:t>
      </w:r>
    </w:p>
    <w:p w:rsidR="00BA3818" w:rsidRPr="00582FEE" w:rsidRDefault="00BA3818" w:rsidP="00BA3818">
      <w:pPr>
        <w:ind w:firstLine="709"/>
        <w:rPr>
          <w:rFonts w:ascii="Times New Roman" w:hAnsi="Times New Roman"/>
          <w:sz w:val="28"/>
          <w:szCs w:val="28"/>
        </w:rPr>
      </w:pPr>
    </w:p>
    <w:p w:rsidR="00BA3818" w:rsidRPr="00582FEE" w:rsidRDefault="00BA3818" w:rsidP="00BA3818">
      <w:pPr>
        <w:pStyle w:val="90"/>
        <w:shd w:val="clear" w:color="auto" w:fill="auto"/>
        <w:spacing w:after="0" w:line="240" w:lineRule="auto"/>
        <w:ind w:firstLine="709"/>
        <w:jc w:val="center"/>
        <w:rPr>
          <w:i w:val="0"/>
          <w:sz w:val="24"/>
          <w:szCs w:val="24"/>
        </w:rPr>
      </w:pPr>
    </w:p>
    <w:p w:rsidR="00BA3818" w:rsidRDefault="00BA3818" w:rsidP="00BA3818">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BA3818" w:rsidRPr="00582FEE" w:rsidRDefault="00BA3818" w:rsidP="00BA3818">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Pr="00E32A0C">
        <w:rPr>
          <w:i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A7333">
        <w:rPr>
          <w:i w:val="0"/>
          <w:sz w:val="28"/>
          <w:szCs w:val="28"/>
        </w:rPr>
        <w:t>»</w:t>
      </w:r>
      <w:r w:rsidRPr="00582FEE">
        <w:rPr>
          <w:i w:val="0"/>
          <w:sz w:val="28"/>
          <w:szCs w:val="28"/>
        </w:rPr>
        <w:t xml:space="preserve"> на территории </w:t>
      </w:r>
      <w:r w:rsidR="004D14DB" w:rsidRPr="004D14DB">
        <w:rPr>
          <w:i w:val="0"/>
          <w:sz w:val="28"/>
          <w:szCs w:val="28"/>
        </w:rPr>
        <w:t>Великоархангельского</w:t>
      </w:r>
      <w:r w:rsidRPr="004D14DB">
        <w:rPr>
          <w:i w:val="0"/>
          <w:sz w:val="28"/>
          <w:szCs w:val="28"/>
        </w:rPr>
        <w:t xml:space="preserve"> </w:t>
      </w:r>
      <w:r w:rsidRPr="003C5604">
        <w:rPr>
          <w:i w:val="0"/>
          <w:sz w:val="28"/>
          <w:szCs w:val="28"/>
        </w:rPr>
        <w:t>сельского поселения Бутурлиновского муниципального района</w:t>
      </w:r>
      <w:r>
        <w:rPr>
          <w:sz w:val="28"/>
          <w:szCs w:val="28"/>
        </w:rPr>
        <w:t xml:space="preserve"> </w:t>
      </w:r>
      <w:r w:rsidRPr="00582FEE">
        <w:rPr>
          <w:i w:val="0"/>
          <w:sz w:val="28"/>
          <w:szCs w:val="28"/>
        </w:rPr>
        <w:t>Воронежской области</w:t>
      </w:r>
    </w:p>
    <w:p w:rsidR="004A0254" w:rsidRDefault="004A0254" w:rsidP="004A0254">
      <w:pPr>
        <w:pStyle w:val="11"/>
        <w:ind w:firstLine="0"/>
        <w:jc w:val="right"/>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4D14DB">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3464AD">
        <w:t xml:space="preserve"> </w:t>
      </w:r>
      <w:r w:rsidR="004D14DB" w:rsidRPr="004D14DB">
        <w:t>Великоархангельского</w:t>
      </w:r>
      <w:r w:rsidRPr="00853924">
        <w:t xml:space="preserve"> се</w:t>
      </w:r>
      <w:r w:rsidR="0038330F">
        <w:t>льского поселения</w:t>
      </w:r>
      <w:r w:rsidRPr="00853924">
        <w:t xml:space="preserve"> </w:t>
      </w:r>
      <w:r w:rsidR="00D952AA">
        <w:t xml:space="preserve">Бутурлиновского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4D14DB" w:rsidRPr="004D14DB">
        <w:rPr>
          <w:rFonts w:ascii="Times New Roman" w:hAnsi="Times New Roman" w:cs="Times New Roman"/>
          <w:spacing w:val="7"/>
          <w:sz w:val="28"/>
          <w:szCs w:val="28"/>
        </w:rPr>
        <w:t>Великоархангельского</w:t>
      </w:r>
      <w:r w:rsidRPr="004F392A">
        <w:rPr>
          <w:rFonts w:ascii="Times New Roman" w:hAnsi="Times New Roman" w:cs="Times New Roman"/>
          <w:spacing w:val="7"/>
          <w:sz w:val="28"/>
          <w:szCs w:val="28"/>
        </w:rPr>
        <w:t xml:space="preserve"> </w:t>
      </w:r>
      <w:r w:rsidR="00657504" w:rsidRPr="00657504">
        <w:rPr>
          <w:rFonts w:ascii="Times New Roman" w:hAnsi="Times New Roman" w:cs="Times New Roman"/>
          <w:sz w:val="28"/>
          <w:szCs w:val="28"/>
        </w:rPr>
        <w:t>сельского поселения Бутурлиновского муниципального района</w:t>
      </w:r>
      <w:r w:rsidRPr="0065750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Воронежской области (далее – Администрация) или в МФЦ.</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4D14DB" w:rsidRPr="004D14DB">
        <w:rPr>
          <w:rFonts w:ascii="Times New Roman" w:hAnsi="Times New Roman" w:cs="Times New Roman"/>
          <w:spacing w:val="7"/>
          <w:sz w:val="28"/>
          <w:szCs w:val="28"/>
        </w:rPr>
        <w:t xml:space="preserve">Великоархангельского </w:t>
      </w:r>
      <w:r w:rsidR="005C468B">
        <w:rPr>
          <w:rFonts w:ascii="Times New Roman" w:hAnsi="Times New Roman" w:cs="Times New Roman"/>
          <w:spacing w:val="7"/>
          <w:sz w:val="28"/>
          <w:szCs w:val="28"/>
        </w:rPr>
        <w:t xml:space="preserve">сельского поселения </w:t>
      </w:r>
      <w:r w:rsidRPr="004F392A">
        <w:rPr>
          <w:rFonts w:ascii="Times New Roman" w:hAnsi="Times New Roman" w:cs="Times New Roman"/>
          <w:spacing w:val="7"/>
          <w:sz w:val="28"/>
          <w:szCs w:val="28"/>
        </w:rPr>
        <w:t>(</w:t>
      </w:r>
      <w:r w:rsidR="005C468B" w:rsidRPr="005C468B">
        <w:rPr>
          <w:rFonts w:ascii="Times New Roman" w:hAnsi="Times New Roman" w:cs="Times New Roman"/>
          <w:spacing w:val="7"/>
          <w:sz w:val="28"/>
          <w:szCs w:val="28"/>
        </w:rPr>
        <w:t>www.velikoarhangel.ru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lastRenderedPageBreak/>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5C468B" w:rsidRPr="005C468B" w:rsidRDefault="005C468B" w:rsidP="005C468B">
      <w:pPr>
        <w:tabs>
          <w:tab w:val="left" w:pos="1405"/>
        </w:tabs>
        <w:ind w:firstLine="567"/>
        <w:jc w:val="both"/>
        <w:rPr>
          <w:rFonts w:ascii="Times New Roman" w:hAnsi="Times New Roman" w:cs="Times New Roman"/>
          <w:spacing w:val="7"/>
          <w:sz w:val="28"/>
          <w:szCs w:val="28"/>
        </w:rPr>
      </w:pPr>
      <w:r w:rsidRPr="005C468B">
        <w:rPr>
          <w:rFonts w:ascii="Times New Roman" w:hAnsi="Times New Roman" w:cs="Times New Roman"/>
          <w:spacing w:val="7"/>
          <w:sz w:val="28"/>
          <w:szCs w:val="28"/>
        </w:rPr>
        <w:t>- Место нахождения администрации Великоархангельского сельского поселения: 397543, Воронежская область, Бутурлиновский район, с. Великоархангельское, ул.Ленина, 48</w:t>
      </w:r>
    </w:p>
    <w:p w:rsidR="005C468B" w:rsidRPr="005C468B" w:rsidRDefault="005C468B" w:rsidP="005C468B">
      <w:pPr>
        <w:tabs>
          <w:tab w:val="left" w:pos="1405"/>
        </w:tabs>
        <w:ind w:firstLine="567"/>
        <w:jc w:val="both"/>
        <w:rPr>
          <w:rFonts w:ascii="Times New Roman" w:hAnsi="Times New Roman" w:cs="Times New Roman"/>
          <w:spacing w:val="7"/>
          <w:sz w:val="28"/>
          <w:szCs w:val="28"/>
        </w:rPr>
      </w:pPr>
      <w:r w:rsidRPr="005C468B">
        <w:rPr>
          <w:rFonts w:ascii="Times New Roman" w:hAnsi="Times New Roman" w:cs="Times New Roman"/>
          <w:spacing w:val="7"/>
          <w:sz w:val="28"/>
          <w:szCs w:val="28"/>
        </w:rPr>
        <w:t>- График работы администрации Великоархангельского сельского поселения Бутурлиновского муниципального района Воронежской области:</w:t>
      </w:r>
    </w:p>
    <w:p w:rsidR="005C468B" w:rsidRPr="005C468B" w:rsidRDefault="005C468B" w:rsidP="005C468B">
      <w:pPr>
        <w:tabs>
          <w:tab w:val="left" w:pos="1405"/>
        </w:tabs>
        <w:ind w:firstLine="567"/>
        <w:jc w:val="both"/>
        <w:rPr>
          <w:rFonts w:ascii="Times New Roman" w:hAnsi="Times New Roman" w:cs="Times New Roman"/>
          <w:spacing w:val="7"/>
          <w:sz w:val="28"/>
          <w:szCs w:val="28"/>
        </w:rPr>
      </w:pPr>
      <w:r w:rsidRPr="005C468B">
        <w:rPr>
          <w:rFonts w:ascii="Times New Roman" w:hAnsi="Times New Roman" w:cs="Times New Roman"/>
          <w:spacing w:val="7"/>
          <w:sz w:val="28"/>
          <w:szCs w:val="28"/>
        </w:rPr>
        <w:t xml:space="preserve">понедельник - </w:t>
      </w:r>
      <w:r w:rsidR="00C8505B">
        <w:rPr>
          <w:rFonts w:ascii="Times New Roman" w:hAnsi="Times New Roman" w:cs="Times New Roman"/>
          <w:spacing w:val="7"/>
          <w:sz w:val="28"/>
          <w:szCs w:val="28"/>
        </w:rPr>
        <w:t>пятница</w:t>
      </w:r>
      <w:bookmarkStart w:id="0" w:name="_GoBack"/>
      <w:bookmarkEnd w:id="0"/>
      <w:r w:rsidRPr="005C468B">
        <w:rPr>
          <w:rFonts w:ascii="Times New Roman" w:hAnsi="Times New Roman" w:cs="Times New Roman"/>
          <w:spacing w:val="7"/>
          <w:sz w:val="28"/>
          <w:szCs w:val="28"/>
        </w:rPr>
        <w:t>: с 08.00 до 17.00;</w:t>
      </w:r>
    </w:p>
    <w:p w:rsidR="005C468B" w:rsidRPr="005C468B" w:rsidRDefault="005C468B" w:rsidP="005C468B">
      <w:pPr>
        <w:tabs>
          <w:tab w:val="left" w:pos="1405"/>
        </w:tabs>
        <w:ind w:firstLine="567"/>
        <w:jc w:val="both"/>
        <w:rPr>
          <w:rFonts w:ascii="Times New Roman" w:hAnsi="Times New Roman" w:cs="Times New Roman"/>
          <w:spacing w:val="7"/>
          <w:sz w:val="28"/>
          <w:szCs w:val="28"/>
        </w:rPr>
      </w:pPr>
      <w:r w:rsidRPr="005C468B">
        <w:rPr>
          <w:rFonts w:ascii="Times New Roman" w:hAnsi="Times New Roman" w:cs="Times New Roman"/>
          <w:spacing w:val="7"/>
          <w:sz w:val="28"/>
          <w:szCs w:val="28"/>
        </w:rPr>
        <w:t>перерыв: с 12.00 до 14.00.</w:t>
      </w:r>
    </w:p>
    <w:p w:rsidR="005C468B" w:rsidRPr="005C468B" w:rsidRDefault="005C468B" w:rsidP="005C468B">
      <w:pPr>
        <w:tabs>
          <w:tab w:val="left" w:pos="1405"/>
        </w:tabs>
        <w:ind w:firstLine="567"/>
        <w:jc w:val="both"/>
        <w:rPr>
          <w:rFonts w:ascii="Times New Roman" w:hAnsi="Times New Roman" w:cs="Times New Roman"/>
          <w:spacing w:val="7"/>
          <w:sz w:val="28"/>
          <w:szCs w:val="28"/>
        </w:rPr>
      </w:pPr>
      <w:r w:rsidRPr="005C468B">
        <w:rPr>
          <w:rFonts w:ascii="Times New Roman" w:hAnsi="Times New Roman" w:cs="Times New Roman"/>
          <w:spacing w:val="7"/>
          <w:sz w:val="28"/>
          <w:szCs w:val="28"/>
        </w:rPr>
        <w:t>- Официальный сайт администрации Великоархангельского сельского поселения Бутурлиновского муниципального района Воронежской области в сети Интернет: velikoarhangel.ru.</w:t>
      </w:r>
    </w:p>
    <w:p w:rsidR="005C468B" w:rsidRPr="005C468B" w:rsidRDefault="005C468B" w:rsidP="005C468B">
      <w:pPr>
        <w:tabs>
          <w:tab w:val="left" w:pos="1405"/>
        </w:tabs>
        <w:ind w:firstLine="567"/>
        <w:jc w:val="both"/>
        <w:rPr>
          <w:rFonts w:ascii="Times New Roman" w:hAnsi="Times New Roman" w:cs="Times New Roman"/>
          <w:spacing w:val="7"/>
          <w:sz w:val="28"/>
          <w:szCs w:val="28"/>
        </w:rPr>
      </w:pPr>
      <w:r w:rsidRPr="005C468B">
        <w:rPr>
          <w:rFonts w:ascii="Times New Roman" w:hAnsi="Times New Roman" w:cs="Times New Roman"/>
          <w:spacing w:val="7"/>
          <w:sz w:val="28"/>
          <w:szCs w:val="28"/>
        </w:rPr>
        <w:t>- 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116244" w:rsidRPr="004F392A" w:rsidRDefault="005C468B" w:rsidP="005C468B">
      <w:pPr>
        <w:tabs>
          <w:tab w:val="left" w:pos="1405"/>
        </w:tabs>
        <w:ind w:firstLine="567"/>
        <w:jc w:val="both"/>
        <w:rPr>
          <w:rFonts w:ascii="Times New Roman" w:hAnsi="Times New Roman" w:cs="Times New Roman"/>
          <w:spacing w:val="7"/>
          <w:sz w:val="28"/>
          <w:szCs w:val="28"/>
        </w:rPr>
      </w:pPr>
      <w:r w:rsidRPr="005C468B">
        <w:rPr>
          <w:rFonts w:ascii="Times New Roman" w:hAnsi="Times New Roman" w:cs="Times New Roman"/>
          <w:spacing w:val="7"/>
          <w:sz w:val="28"/>
          <w:szCs w:val="28"/>
        </w:rPr>
        <w:t xml:space="preserve">- Телефоны для справок: 8(47361)4-01-30. </w:t>
      </w:r>
      <w:r w:rsidR="00116244"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Администрации произносят слова </w:t>
      </w:r>
      <w:r w:rsidRPr="004F392A">
        <w:rPr>
          <w:rFonts w:ascii="Times New Roman" w:hAnsi="Times New Roman" w:cs="Times New Roman"/>
          <w:spacing w:val="7"/>
          <w:sz w:val="28"/>
          <w:szCs w:val="28"/>
        </w:rPr>
        <w:lastRenderedPageBreak/>
        <w:t>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lastRenderedPageBreak/>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F56930">
      <w:pPr>
        <w:pStyle w:val="11"/>
        <w:numPr>
          <w:ilvl w:val="1"/>
          <w:numId w:val="6"/>
        </w:numPr>
        <w:tabs>
          <w:tab w:val="left" w:pos="1945"/>
        </w:tabs>
        <w:ind w:left="284" w:firstLine="0"/>
        <w:jc w:val="both"/>
        <w:rPr>
          <w:rStyle w:val="0pt"/>
          <w:i w:val="0"/>
          <w:iCs w:val="0"/>
          <w:color w:val="auto"/>
          <w:spacing w:val="0"/>
          <w:sz w:val="28"/>
          <w:szCs w:val="28"/>
        </w:rPr>
      </w:pPr>
      <w:r w:rsidRPr="009476CE">
        <w:t xml:space="preserve">Муниципальная услуга предоставляется Администрацией </w:t>
      </w:r>
      <w:r w:rsidR="00F56930" w:rsidRPr="00F56930">
        <w:t>Великоархангельского</w:t>
      </w:r>
      <w:r w:rsidRPr="009476CE">
        <w:t xml:space="preserve"> </w:t>
      </w:r>
      <w:r w:rsidR="00657504" w:rsidRPr="00657504">
        <w:t>сельского поселения Бутурлиновского муниципального района</w:t>
      </w:r>
      <w:r w:rsidRPr="009476CE">
        <w:t xml:space="preserve"> Воронежской области</w:t>
      </w:r>
      <w:r>
        <w:t xml:space="preserve"> (далее – Администрация)</w:t>
      </w:r>
      <w:r w:rsidRPr="009476CE">
        <w:rPr>
          <w:rStyle w:val="0pt"/>
          <w:rFonts w:eastAsia="Arial"/>
          <w:sz w:val="28"/>
          <w:szCs w:val="28"/>
        </w:rPr>
        <w:t>.</w:t>
      </w:r>
    </w:p>
    <w:p w:rsidR="004A0254" w:rsidRDefault="004A0254" w:rsidP="00F56930">
      <w:pPr>
        <w:pStyle w:val="11"/>
        <w:numPr>
          <w:ilvl w:val="1"/>
          <w:numId w:val="6"/>
        </w:numPr>
        <w:tabs>
          <w:tab w:val="left" w:pos="1418"/>
        </w:tabs>
        <w:ind w:left="284" w:firstLine="0"/>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F56930">
      <w:pPr>
        <w:pStyle w:val="11"/>
        <w:numPr>
          <w:ilvl w:val="1"/>
          <w:numId w:val="6"/>
        </w:numPr>
        <w:tabs>
          <w:tab w:val="left" w:pos="1418"/>
        </w:tabs>
        <w:ind w:left="284" w:firstLine="0"/>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B91FAE" w:rsidRDefault="004A0254" w:rsidP="00F56930">
      <w:pPr>
        <w:pStyle w:val="11"/>
        <w:numPr>
          <w:ilvl w:val="1"/>
          <w:numId w:val="6"/>
        </w:numPr>
        <w:tabs>
          <w:tab w:val="left" w:pos="1418"/>
        </w:tabs>
        <w:ind w:left="284" w:firstLine="0"/>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D14DB" w:rsidRPr="004D14DB">
        <w:t>Великоархангельского</w:t>
      </w:r>
      <w:r w:rsidRPr="00B91FAE">
        <w:t xml:space="preserve"> </w:t>
      </w:r>
      <w:r w:rsidR="00657504" w:rsidRPr="00657504">
        <w:t>сельского поселения Бутурлиновского муниципального района</w:t>
      </w:r>
      <w:r w:rsidRPr="00B91FAE">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657504">
        <w:t>Бутурлиновского</w:t>
      </w:r>
      <w:r w:rsidRPr="00B91FAE">
        <w:t xml:space="preserve"> муниципального района 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lastRenderedPageBreak/>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lastRenderedPageBreak/>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5C468B" w:rsidRPr="005C468B">
        <w:rPr>
          <w:sz w:val="28"/>
          <w:szCs w:val="28"/>
          <w:lang w:bidi="ru-RU"/>
        </w:rPr>
        <w:t>www.velikoarhangel.ru</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w:t>
      </w:r>
      <w:r w:rsidR="00032324">
        <w:lastRenderedPageBreak/>
        <w:t xml:space="preserve">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lastRenderedPageBreak/>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7"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w:t>
      </w:r>
      <w:r>
        <w:rPr>
          <w:rFonts w:ascii="Times New Roman" w:eastAsiaTheme="minorHAnsi" w:hAnsi="Times New Roman" w:cs="Times New Roman"/>
          <w:color w:val="auto"/>
          <w:sz w:val="28"/>
          <w:szCs w:val="28"/>
          <w:lang w:eastAsia="en-US" w:bidi="ar-SA"/>
        </w:rPr>
        <w:lastRenderedPageBreak/>
        <w:t>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8"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9"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1"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2"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и) типовое архитектурное решение, выполненное в соответствии с требованиями, установленными</w:t>
      </w:r>
      <w:r w:rsidR="00ED70F1" w:rsidRPr="00ED70F1">
        <w:rPr>
          <w:rFonts w:ascii="Times New Roman" w:eastAsiaTheme="minorHAnsi" w:hAnsi="Times New Roman" w:cs="Times New Roman"/>
          <w:color w:val="auto"/>
          <w:sz w:val="28"/>
          <w:szCs w:val="28"/>
          <w:lang w:eastAsia="en-US" w:bidi="ar-SA"/>
        </w:rPr>
        <w:t xml:space="preserve"> постановлением администрации Бутурлиновского муниципального района Воронежской области от 21.04.2016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w:t>
      </w:r>
      <w:r>
        <w:rPr>
          <w:rFonts w:ascii="Times New Roman" w:eastAsiaTheme="minorHAnsi" w:hAnsi="Times New Roman" w:cs="Times New Roman"/>
          <w:color w:val="auto"/>
          <w:sz w:val="28"/>
          <w:szCs w:val="28"/>
          <w:lang w:eastAsia="en-US" w:bidi="ar-SA"/>
        </w:rPr>
        <w:lastRenderedPageBreak/>
        <w:t>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 xml:space="preserve">сведения из Единого государственного реестра недвижимости об основных </w:t>
      </w:r>
      <w:r w:rsidRPr="00E9787B">
        <w:lastRenderedPageBreak/>
        <w:t>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F56930" w:rsidRPr="00F56930">
        <w:rPr>
          <w:rFonts w:ascii="Times New Roman" w:hAnsi="Times New Roman"/>
          <w:bCs/>
          <w:sz w:val="28"/>
          <w:szCs w:val="28"/>
        </w:rPr>
        <w:t>Великоархангельского</w:t>
      </w:r>
      <w:r w:rsidR="00F56930">
        <w:rPr>
          <w:rFonts w:ascii="Times New Roman" w:hAnsi="Times New Roman"/>
          <w:bCs/>
          <w:sz w:val="28"/>
          <w:szCs w:val="28"/>
        </w:rPr>
        <w:t xml:space="preserve"> сельского поселения</w:t>
      </w:r>
      <w:r w:rsidR="00F56930" w:rsidRPr="00F56930">
        <w:rPr>
          <w:rFonts w:ascii="Times New Roman" w:hAnsi="Times New Roman"/>
          <w:bCs/>
          <w:sz w:val="28"/>
          <w:szCs w:val="28"/>
        </w:rPr>
        <w:t xml:space="preserve">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D1622F">
        <w:rPr>
          <w:rFonts w:ascii="Times New Roman" w:hAnsi="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lastRenderedPageBreak/>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9">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 xml:space="preserve">бъекта (при использовании земель или земельного участка с целью размещения временных сооружений или </w:t>
      </w:r>
      <w:r w:rsidR="004C78BB" w:rsidRPr="004C78BB">
        <w:rPr>
          <w:rFonts w:ascii="Times New Roman" w:hAnsi="Times New Roman"/>
          <w:sz w:val="28"/>
          <w:szCs w:val="28"/>
        </w:rPr>
        <w:lastRenderedPageBreak/>
        <w:t>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F85161">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F85161">
        <w:rPr>
          <w:rFonts w:ascii="Times New Roman" w:hAnsi="Times New Roman" w:cs="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w:t>
      </w:r>
      <w:r w:rsidRPr="00F85161">
        <w:rPr>
          <w:rFonts w:ascii="Times New Roman" w:hAnsi="Times New Roman" w:cs="Times New Roman"/>
          <w:sz w:val="28"/>
          <w:szCs w:val="28"/>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w:t>
      </w:r>
      <w:r w:rsidRPr="00F85161">
        <w:rPr>
          <w:rFonts w:ascii="Times New Roman" w:hAnsi="Times New Roman" w:cs="Times New Roman"/>
          <w:sz w:val="28"/>
          <w:szCs w:val="28"/>
        </w:rPr>
        <w:lastRenderedPageBreak/>
        <w:t>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 xml:space="preserve">Состав, последовательность и сроки выполнения административных </w:t>
      </w:r>
      <w:r w:rsidRPr="0015599A">
        <w:rPr>
          <w:b/>
        </w:rPr>
        <w:lastRenderedPageBreak/>
        <w:t>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00B1570E" w:rsidRPr="00B1570E">
        <w:rPr>
          <w:b/>
        </w:rPr>
        <w:lastRenderedPageBreak/>
        <w:t>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15599A">
        <w:rPr>
          <w:rFonts w:ascii="Times New Roman" w:hAnsi="Times New Roman"/>
          <w:i/>
          <w:sz w:val="28"/>
          <w:szCs w:val="28"/>
        </w:rPr>
        <w:t>.</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w:t>
      </w:r>
      <w:r w:rsidR="00B47189">
        <w:rPr>
          <w:rFonts w:ascii="Times New Roman" w:hAnsi="Times New Roman" w:cs="Times New Roman"/>
          <w:color w:val="auto"/>
          <w:sz w:val="28"/>
          <w:szCs w:val="28"/>
        </w:rPr>
        <w:t xml:space="preserve">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lastRenderedPageBreak/>
        <w:t xml:space="preserve">Если заявление и документы, указанные в </w:t>
      </w:r>
      <w:hyperlink r:id="rId32"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3"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B47189" w:rsidRDefault="004A0254" w:rsidP="0015599A">
      <w:pPr>
        <w:pStyle w:val="aa"/>
        <w:numPr>
          <w:ilvl w:val="1"/>
          <w:numId w:val="16"/>
        </w:numPr>
        <w:ind w:left="0" w:firstLine="709"/>
        <w:rPr>
          <w:rFonts w:ascii="Times New Roman" w:hAnsi="Times New Roman"/>
          <w:sz w:val="28"/>
          <w:szCs w:val="28"/>
        </w:rPr>
      </w:pPr>
      <w:r w:rsidRPr="00B4718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w:t>
      </w:r>
      <w:r w:rsidRPr="00176C4B">
        <w:rPr>
          <w:rFonts w:ascii="Times New Roman" w:hAnsi="Times New Roman" w:cs="Times New Roman"/>
          <w:sz w:val="28"/>
          <w:szCs w:val="28"/>
        </w:rPr>
        <w:lastRenderedPageBreak/>
        <w:t xml:space="preserve">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t>Принятие решения о предоставлении (об отказе в предоставлении) Муниципальной услуги</w:t>
      </w:r>
      <w:r w:rsidRPr="00EC4A61">
        <w:rPr>
          <w:rFonts w:ascii="Times New Roman" w:hAnsi="Times New Roman"/>
          <w:i/>
          <w:sz w:val="28"/>
          <w:szCs w:val="28"/>
        </w:rPr>
        <w:t>.</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F56930" w:rsidRPr="00F56930">
        <w:rPr>
          <w:rFonts w:ascii="Times New Roman" w:hAnsi="Times New Roman"/>
          <w:sz w:val="28"/>
          <w:szCs w:val="28"/>
        </w:rPr>
        <w:t>Великоархангельского</w:t>
      </w:r>
      <w:r w:rsidR="00B47189">
        <w:rPr>
          <w:rFonts w:ascii="Times New Roman" w:hAnsi="Times New Roman"/>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 xml:space="preserve">разрешения на использование земель или земельных участков, находящихся в муниципальной собственности, без предоставления </w:t>
      </w:r>
      <w:r w:rsidR="002A3AA5" w:rsidRPr="00E74BF1">
        <w:rPr>
          <w:sz w:val="28"/>
          <w:szCs w:val="28"/>
        </w:rPr>
        <w:lastRenderedPageBreak/>
        <w:t>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B47189" w:rsidRDefault="004A0254"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w:t>
      </w:r>
      <w:r w:rsidRPr="00610C0E">
        <w:lastRenderedPageBreak/>
        <w:t xml:space="preserve">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B47189" w:rsidRDefault="00EC4A61" w:rsidP="00EC4A61">
      <w:pPr>
        <w:pStyle w:val="aa"/>
        <w:spacing w:after="0"/>
        <w:ind w:left="0" w:firstLine="709"/>
        <w:rPr>
          <w:rFonts w:ascii="Times New Roman" w:hAnsi="Times New Roman"/>
          <w:sz w:val="28"/>
          <w:szCs w:val="28"/>
        </w:rPr>
      </w:pPr>
      <w:r w:rsidRPr="00B47189">
        <w:rPr>
          <w:rFonts w:ascii="Times New Roman" w:hAnsi="Times New Roman"/>
          <w:sz w:val="28"/>
          <w:szCs w:val="28"/>
        </w:rPr>
        <w:t xml:space="preserve">22.1. </w:t>
      </w:r>
      <w:r w:rsidR="00E941A0" w:rsidRPr="00B4718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B47189" w:rsidRDefault="00E941A0" w:rsidP="00EC4A61">
      <w:pPr>
        <w:pStyle w:val="11"/>
        <w:ind w:firstLine="709"/>
        <w:jc w:val="both"/>
      </w:pPr>
      <w:r w:rsidRPr="00B47189">
        <w:t>Административная процедура осуществляется в со</w:t>
      </w:r>
      <w:r w:rsidR="00EC4A61" w:rsidRPr="00B47189">
        <w:t>ответствии с п.21.2.</w:t>
      </w:r>
      <w:r w:rsidRPr="00B47189">
        <w:t xml:space="preserve"> настоящего Административного регламента. </w:t>
      </w:r>
    </w:p>
    <w:p w:rsidR="004A0254" w:rsidRPr="00B47189" w:rsidRDefault="004A0254" w:rsidP="00EC4A61">
      <w:pPr>
        <w:pStyle w:val="11"/>
        <w:numPr>
          <w:ilvl w:val="1"/>
          <w:numId w:val="16"/>
        </w:numPr>
        <w:ind w:left="0" w:firstLine="709"/>
        <w:jc w:val="both"/>
      </w:pPr>
      <w:r w:rsidRPr="00B4718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B47189" w:rsidRDefault="004A0254" w:rsidP="00EC4A61">
      <w:pPr>
        <w:pStyle w:val="11"/>
        <w:numPr>
          <w:ilvl w:val="1"/>
          <w:numId w:val="16"/>
        </w:numPr>
        <w:ind w:left="0" w:firstLine="709"/>
        <w:jc w:val="both"/>
      </w:pPr>
      <w:r w:rsidRPr="00B47189">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w:t>
      </w:r>
      <w:r w:rsidR="00B06FF3">
        <w:rPr>
          <w:rFonts w:ascii="Times New Roman" w:hAnsi="Times New Roman"/>
          <w:sz w:val="28"/>
          <w:szCs w:val="28"/>
        </w:rPr>
        <w:lastRenderedPageBreak/>
        <w:t xml:space="preserve">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F56930" w:rsidRPr="00F56930">
        <w:rPr>
          <w:rFonts w:ascii="Times New Roman" w:hAnsi="Times New Roman"/>
          <w:sz w:val="28"/>
          <w:szCs w:val="28"/>
        </w:rPr>
        <w:t xml:space="preserve">Великоархангельского </w:t>
      </w:r>
      <w:r w:rsidR="00B47189" w:rsidRPr="00657504">
        <w:rPr>
          <w:rFonts w:ascii="Times New Roman" w:hAnsi="Times New Roman"/>
          <w:sz w:val="28"/>
          <w:szCs w:val="28"/>
        </w:rPr>
        <w:t>сельского поселения Бутурлиновского муниципального района</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B47189" w:rsidRDefault="00B30852"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w:t>
      </w:r>
      <w:r w:rsidRPr="00B00B8B">
        <w:lastRenderedPageBreak/>
        <w:t>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w:t>
      </w:r>
      <w:r w:rsidRPr="009476CE">
        <w:rPr>
          <w:rFonts w:eastAsiaTheme="minorHAnsi"/>
        </w:rPr>
        <w:lastRenderedPageBreak/>
        <w:t xml:space="preserve">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lastRenderedPageBreak/>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F56930" w:rsidRPr="00F56930">
        <w:t>Великоархангельского</w:t>
      </w:r>
      <w:r w:rsidRPr="00F32D1D">
        <w:t xml:space="preserve"> </w:t>
      </w:r>
      <w:r w:rsidR="00B47189" w:rsidRPr="00657504">
        <w:t>сельского поселения Бутурлиновского муниципального района</w:t>
      </w:r>
      <w:r w:rsidRPr="00F32D1D">
        <w:t xml:space="preserve">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F56930">
      <w:pPr>
        <w:pStyle w:val="25"/>
        <w:numPr>
          <w:ilvl w:val="1"/>
          <w:numId w:val="17"/>
        </w:numPr>
        <w:shd w:val="clear" w:color="auto" w:fill="auto"/>
        <w:tabs>
          <w:tab w:val="left" w:pos="0"/>
          <w:tab w:val="left" w:pos="142"/>
          <w:tab w:val="left" w:pos="709"/>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56930" w:rsidRPr="00F56930">
        <w:rPr>
          <w:sz w:val="28"/>
          <w:szCs w:val="28"/>
        </w:rPr>
        <w:t>Великоархангельского</w:t>
      </w:r>
      <w:r w:rsidRPr="009A05FE">
        <w:rPr>
          <w:sz w:val="28"/>
          <w:szCs w:val="28"/>
        </w:rPr>
        <w:t xml:space="preserve"> </w:t>
      </w:r>
      <w:r w:rsidR="00B47189" w:rsidRPr="00657504">
        <w:rPr>
          <w:sz w:val="28"/>
          <w:szCs w:val="28"/>
        </w:rPr>
        <w:t>сельского поселения Бутурлиновского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F56930">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w:t>
      </w:r>
      <w:r w:rsidRPr="00076F4C">
        <w:rPr>
          <w:rFonts w:ascii="Times New Roman" w:hAnsi="Times New Roman"/>
          <w:spacing w:val="7"/>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A381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A381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w:t>
      </w:r>
      <w:r w:rsidRPr="00990048">
        <w:rPr>
          <w:rFonts w:ascii="Times New Roman" w:hAnsi="Times New Roman" w:cs="Times New Roman"/>
          <w:color w:val="auto"/>
          <w:sz w:val="28"/>
          <w:szCs w:val="28"/>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rFonts w:ascii="Times New Roman" w:hAnsi="Times New Roman" w:cs="Times New Roman"/>
          <w:color w:val="auto"/>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F56930" w:rsidRPr="00F56930">
        <w:rPr>
          <w:rFonts w:ascii="Times New Roman" w:hAnsi="Times New Roman" w:cs="Times New Roman"/>
          <w:color w:val="auto"/>
          <w:sz w:val="28"/>
          <w:szCs w:val="28"/>
        </w:rPr>
        <w:t>Великоархангельского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F56930" w:rsidRPr="00F56930">
        <w:rPr>
          <w:rFonts w:ascii="Times New Roman" w:hAnsi="Times New Roman" w:cs="Times New Roman"/>
          <w:color w:val="auto"/>
          <w:sz w:val="28"/>
          <w:szCs w:val="28"/>
        </w:rPr>
        <w:t>Великоархангельского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r w:rsidRPr="00990048">
        <w:rPr>
          <w:rFonts w:ascii="Times New Roman" w:hAnsi="Times New Roman" w:cs="Times New Roman"/>
          <w:color w:val="auto"/>
          <w:sz w:val="28"/>
          <w:szCs w:val="28"/>
        </w:rPr>
        <w:t xml:space="preserve">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w:t>
      </w:r>
      <w:r w:rsidRPr="00990048">
        <w:rPr>
          <w:rFonts w:ascii="Times New Roman" w:hAnsi="Times New Roman" w:cs="Times New Roman"/>
          <w:color w:val="auto"/>
          <w:sz w:val="28"/>
          <w:szCs w:val="28"/>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F56930">
          <w:headerReference w:type="default" r:id="rId43"/>
          <w:pgSz w:w="11900" w:h="16840"/>
          <w:pgMar w:top="1095" w:right="530" w:bottom="900" w:left="1134"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441109"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441109"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531ADD">
      <w:pPr>
        <w:pStyle w:val="1"/>
        <w:keepNext w:val="0"/>
        <w:keepLines w:val="0"/>
        <w:autoSpaceDE w:val="0"/>
        <w:autoSpaceDN w:val="0"/>
        <w:adjustRightInd w:val="0"/>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lastRenderedPageBreak/>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lastRenderedPageBreak/>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41109"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41109"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41109"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41109"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41109"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 xml:space="preserve">бъектов, уже предоставлен на определенном праве физическому или юридическому </w:t>
            </w:r>
            <w:r w:rsidRPr="00B05302">
              <w:rPr>
                <w:rFonts w:ascii="Times New Roman" w:hAnsi="Times New Roman" w:cs="Times New Roman"/>
                <w:color w:val="auto"/>
              </w:rPr>
              <w:lastRenderedPageBreak/>
              <w:t>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41109"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41109"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lastRenderedPageBreak/>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lastRenderedPageBreak/>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109" w:rsidRDefault="00441109">
      <w:r>
        <w:separator/>
      </w:r>
    </w:p>
  </w:endnote>
  <w:endnote w:type="continuationSeparator" w:id="0">
    <w:p w:rsidR="00441109" w:rsidRDefault="0044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109" w:rsidRDefault="00441109">
      <w:r>
        <w:separator/>
      </w:r>
    </w:p>
  </w:footnote>
  <w:footnote w:type="continuationSeparator" w:id="0">
    <w:p w:rsidR="00441109" w:rsidRDefault="00441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97501"/>
      <w:docPartObj>
        <w:docPartGallery w:val="Page Numbers (Top of Page)"/>
        <w:docPartUnique/>
      </w:docPartObj>
    </w:sdtPr>
    <w:sdtEndPr/>
    <w:sdtContent>
      <w:p w:rsidR="008001B9" w:rsidRDefault="008001B9">
        <w:pPr>
          <w:pStyle w:val="af5"/>
          <w:jc w:val="center"/>
        </w:pPr>
        <w:r>
          <w:fldChar w:fldCharType="begin"/>
        </w:r>
        <w:r>
          <w:instrText>PAGE   \* MERGEFORMAT</w:instrText>
        </w:r>
        <w:r>
          <w:fldChar w:fldCharType="separate"/>
        </w:r>
        <w:r w:rsidR="00C8505B">
          <w:rPr>
            <w:noProof/>
          </w:rPr>
          <w:t>1</w:t>
        </w:r>
        <w:r>
          <w:fldChar w:fldCharType="end"/>
        </w:r>
      </w:p>
    </w:sdtContent>
  </w:sdt>
  <w:p w:rsidR="008001B9" w:rsidRDefault="008001B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B9" w:rsidRDefault="008001B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B9" w:rsidRDefault="008001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316CB"/>
    <w:rsid w:val="003464AD"/>
    <w:rsid w:val="0034669C"/>
    <w:rsid w:val="0038330F"/>
    <w:rsid w:val="00386C9D"/>
    <w:rsid w:val="00441109"/>
    <w:rsid w:val="00450442"/>
    <w:rsid w:val="004773E4"/>
    <w:rsid w:val="00495257"/>
    <w:rsid w:val="004A0254"/>
    <w:rsid w:val="004A6F42"/>
    <w:rsid w:val="004C78BB"/>
    <w:rsid w:val="004D14DB"/>
    <w:rsid w:val="00531ADD"/>
    <w:rsid w:val="00591BF2"/>
    <w:rsid w:val="005C468B"/>
    <w:rsid w:val="005E047C"/>
    <w:rsid w:val="005F7140"/>
    <w:rsid w:val="00657504"/>
    <w:rsid w:val="00694136"/>
    <w:rsid w:val="006F74E2"/>
    <w:rsid w:val="0071099C"/>
    <w:rsid w:val="007263DB"/>
    <w:rsid w:val="007319DC"/>
    <w:rsid w:val="00745366"/>
    <w:rsid w:val="00753AB4"/>
    <w:rsid w:val="00793FFF"/>
    <w:rsid w:val="007D679F"/>
    <w:rsid w:val="008001B9"/>
    <w:rsid w:val="00842BA3"/>
    <w:rsid w:val="00853924"/>
    <w:rsid w:val="00873FC1"/>
    <w:rsid w:val="008906B4"/>
    <w:rsid w:val="008E02E8"/>
    <w:rsid w:val="0093593A"/>
    <w:rsid w:val="00941625"/>
    <w:rsid w:val="009A1C8D"/>
    <w:rsid w:val="009F098E"/>
    <w:rsid w:val="00A148BD"/>
    <w:rsid w:val="00A371EE"/>
    <w:rsid w:val="00A62786"/>
    <w:rsid w:val="00A84286"/>
    <w:rsid w:val="00AB2F41"/>
    <w:rsid w:val="00B06FF3"/>
    <w:rsid w:val="00B126EA"/>
    <w:rsid w:val="00B1570E"/>
    <w:rsid w:val="00B21129"/>
    <w:rsid w:val="00B30852"/>
    <w:rsid w:val="00B47189"/>
    <w:rsid w:val="00B75A0F"/>
    <w:rsid w:val="00BA3818"/>
    <w:rsid w:val="00BB033B"/>
    <w:rsid w:val="00BC6424"/>
    <w:rsid w:val="00BE25C0"/>
    <w:rsid w:val="00C1088F"/>
    <w:rsid w:val="00C431C0"/>
    <w:rsid w:val="00C51BEF"/>
    <w:rsid w:val="00C727DE"/>
    <w:rsid w:val="00C77DB0"/>
    <w:rsid w:val="00C80C2B"/>
    <w:rsid w:val="00C82AAA"/>
    <w:rsid w:val="00C8505B"/>
    <w:rsid w:val="00C87BC2"/>
    <w:rsid w:val="00CA3194"/>
    <w:rsid w:val="00CD3956"/>
    <w:rsid w:val="00CF5538"/>
    <w:rsid w:val="00D1622F"/>
    <w:rsid w:val="00D47BD8"/>
    <w:rsid w:val="00D628CE"/>
    <w:rsid w:val="00D77473"/>
    <w:rsid w:val="00D92389"/>
    <w:rsid w:val="00D952AA"/>
    <w:rsid w:val="00DA511C"/>
    <w:rsid w:val="00DB650D"/>
    <w:rsid w:val="00DD69C2"/>
    <w:rsid w:val="00DF6C7F"/>
    <w:rsid w:val="00E244D5"/>
    <w:rsid w:val="00E2557E"/>
    <w:rsid w:val="00E40ACD"/>
    <w:rsid w:val="00E46337"/>
    <w:rsid w:val="00E73A2F"/>
    <w:rsid w:val="00E74BF1"/>
    <w:rsid w:val="00E941A0"/>
    <w:rsid w:val="00E9787B"/>
    <w:rsid w:val="00EC4A61"/>
    <w:rsid w:val="00ED6DCE"/>
    <w:rsid w:val="00ED70F1"/>
    <w:rsid w:val="00EF2C36"/>
    <w:rsid w:val="00EF363F"/>
    <w:rsid w:val="00EF7CC9"/>
    <w:rsid w:val="00F029FE"/>
    <w:rsid w:val="00F11BC0"/>
    <w:rsid w:val="00F457FD"/>
    <w:rsid w:val="00F56930"/>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D65D5-A2A6-4E54-9EC7-9ED21604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8FA1-AFAF-4F5C-80CE-34C3AAD0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Pages>
  <Words>19573</Words>
  <Characters>111570</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Пользователь</cp:lastModifiedBy>
  <cp:revision>68</cp:revision>
  <dcterms:created xsi:type="dcterms:W3CDTF">2023-05-21T20:46:00Z</dcterms:created>
  <dcterms:modified xsi:type="dcterms:W3CDTF">2023-12-08T06:33:00Z</dcterms:modified>
</cp:coreProperties>
</file>