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8" w:rsidRPr="003663E8" w:rsidRDefault="003663E8" w:rsidP="00E250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/>
          <w:i/>
          <w:iCs/>
          <w:color w:val="auto"/>
          <w:sz w:val="32"/>
          <w:szCs w:val="32"/>
        </w:rPr>
      </w:pPr>
      <w:r w:rsidRPr="003663E8">
        <w:rPr>
          <w:rFonts w:ascii="Calibri" w:hAnsi="Calibri"/>
          <w:noProof/>
          <w:color w:val="auto"/>
          <w:sz w:val="22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E8" w:rsidRPr="003663E8" w:rsidRDefault="003663E8" w:rsidP="00E250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 w:rsidRPr="003663E8">
        <w:rPr>
          <w:b/>
          <w:bCs/>
          <w:i/>
          <w:iCs/>
          <w:color w:val="auto"/>
          <w:sz w:val="40"/>
          <w:szCs w:val="40"/>
        </w:rPr>
        <w:t xml:space="preserve">Совет народных депутатов </w:t>
      </w:r>
    </w:p>
    <w:p w:rsidR="003663E8" w:rsidRPr="003663E8" w:rsidRDefault="00E25018" w:rsidP="00E250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  <w:t>Великоархангельского сельского</w:t>
      </w:r>
      <w:r w:rsidR="003663E8" w:rsidRPr="003663E8">
        <w:rPr>
          <w:b/>
          <w:bCs/>
          <w:i/>
          <w:iCs/>
          <w:color w:val="auto"/>
          <w:sz w:val="40"/>
          <w:szCs w:val="40"/>
        </w:rPr>
        <w:t xml:space="preserve"> поселения</w:t>
      </w:r>
    </w:p>
    <w:p w:rsidR="003663E8" w:rsidRPr="003663E8" w:rsidRDefault="003663E8" w:rsidP="00E250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  <w:color w:val="auto"/>
          <w:sz w:val="36"/>
          <w:szCs w:val="32"/>
        </w:rPr>
      </w:pPr>
      <w:r w:rsidRPr="003663E8">
        <w:rPr>
          <w:b/>
          <w:bCs/>
          <w:i/>
          <w:iCs/>
          <w:color w:val="auto"/>
          <w:sz w:val="36"/>
          <w:szCs w:val="32"/>
        </w:rPr>
        <w:t>Бутурлиновского муниципального района</w:t>
      </w:r>
    </w:p>
    <w:p w:rsidR="003663E8" w:rsidRPr="003663E8" w:rsidRDefault="003663E8" w:rsidP="00E25018">
      <w:pPr>
        <w:keepNext/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 w:val="36"/>
          <w:szCs w:val="32"/>
        </w:rPr>
      </w:pPr>
      <w:r w:rsidRPr="003663E8">
        <w:rPr>
          <w:b/>
          <w:bCs/>
          <w:color w:val="auto"/>
          <w:sz w:val="36"/>
          <w:szCs w:val="32"/>
        </w:rPr>
        <w:t>Воронежской области</w:t>
      </w:r>
    </w:p>
    <w:p w:rsidR="003663E8" w:rsidRPr="003663E8" w:rsidRDefault="003663E8" w:rsidP="00E25018">
      <w:pPr>
        <w:keepNext/>
        <w:widowControl w:val="0"/>
        <w:autoSpaceDE w:val="0"/>
        <w:autoSpaceDN w:val="0"/>
        <w:adjustRightInd w:val="0"/>
        <w:spacing w:before="38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40"/>
          <w:szCs w:val="32"/>
        </w:rPr>
      </w:pPr>
      <w:r w:rsidRPr="003663E8">
        <w:rPr>
          <w:b/>
          <w:bCs/>
          <w:i/>
          <w:iCs/>
          <w:color w:val="auto"/>
          <w:sz w:val="40"/>
          <w:szCs w:val="32"/>
        </w:rPr>
        <w:t>РЕШЕНИЕ</w:t>
      </w:r>
    </w:p>
    <w:p w:rsidR="003663E8" w:rsidRPr="003663E8" w:rsidRDefault="003663E8" w:rsidP="00E2501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E2501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  <w:u w:val="single"/>
        </w:rPr>
      </w:pPr>
      <w:r w:rsidRPr="00E25018">
        <w:rPr>
          <w:color w:val="auto"/>
          <w:szCs w:val="28"/>
          <w:u w:val="single"/>
        </w:rPr>
        <w:t xml:space="preserve">от  29.04.2022 г.       № </w:t>
      </w:r>
      <w:r w:rsidR="00E25018" w:rsidRPr="00E25018">
        <w:rPr>
          <w:color w:val="auto"/>
          <w:szCs w:val="28"/>
          <w:u w:val="single"/>
        </w:rPr>
        <w:t>99</w:t>
      </w:r>
    </w:p>
    <w:p w:rsidR="003663E8" w:rsidRDefault="003663E8" w:rsidP="003663E8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3663E8">
        <w:rPr>
          <w:color w:val="auto"/>
          <w:sz w:val="24"/>
          <w:szCs w:val="24"/>
        </w:rPr>
        <w:t xml:space="preserve"> с. </w:t>
      </w:r>
      <w:r w:rsidR="00E25018">
        <w:rPr>
          <w:color w:val="auto"/>
          <w:sz w:val="24"/>
          <w:szCs w:val="24"/>
        </w:rPr>
        <w:t>Великоархангельское</w:t>
      </w:r>
    </w:p>
    <w:p w:rsidR="00E25018" w:rsidRPr="003663E8" w:rsidRDefault="00E2501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3663E8" w:rsidRPr="003663E8" w:rsidRDefault="003663E8" w:rsidP="003663E8">
      <w:pPr>
        <w:spacing w:after="0" w:line="240" w:lineRule="auto"/>
        <w:ind w:left="0" w:right="4536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О</w:t>
      </w:r>
      <w:r w:rsidRPr="003663E8">
        <w:rPr>
          <w:b/>
          <w:color w:val="auto"/>
          <w:szCs w:val="28"/>
        </w:rPr>
        <w:t xml:space="preserve">б утверждении </w:t>
      </w:r>
      <w:r>
        <w:rPr>
          <w:b/>
          <w:color w:val="auto"/>
          <w:szCs w:val="28"/>
        </w:rPr>
        <w:t>П</w:t>
      </w:r>
      <w:r w:rsidRPr="003663E8">
        <w:rPr>
          <w:b/>
          <w:color w:val="auto"/>
          <w:szCs w:val="28"/>
        </w:rPr>
        <w:t>орядка подготовки и внесения в</w:t>
      </w:r>
      <w:r w:rsidR="00E25018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С</w:t>
      </w:r>
      <w:r w:rsidRPr="003663E8">
        <w:rPr>
          <w:b/>
          <w:color w:val="auto"/>
          <w:szCs w:val="28"/>
        </w:rPr>
        <w:t>овет народных депутатов</w:t>
      </w:r>
      <w:r>
        <w:rPr>
          <w:b/>
          <w:color w:val="auto"/>
          <w:szCs w:val="28"/>
        </w:rPr>
        <w:t xml:space="preserve"> </w:t>
      </w:r>
      <w:r w:rsidR="00E25018">
        <w:rPr>
          <w:b/>
          <w:color w:val="auto"/>
          <w:szCs w:val="28"/>
        </w:rPr>
        <w:t>Великоархангельского</w:t>
      </w:r>
      <w:r>
        <w:rPr>
          <w:b/>
          <w:color w:val="auto"/>
          <w:szCs w:val="28"/>
        </w:rPr>
        <w:t xml:space="preserve"> сельского поселения Бутурлиновского муниципального района В</w:t>
      </w:r>
      <w:r w:rsidRPr="003663E8">
        <w:rPr>
          <w:b/>
          <w:color w:val="auto"/>
          <w:szCs w:val="28"/>
        </w:rPr>
        <w:t>оронежской области</w:t>
      </w:r>
      <w:r w:rsidR="00E25018">
        <w:rPr>
          <w:b/>
          <w:color w:val="auto"/>
          <w:szCs w:val="28"/>
        </w:rPr>
        <w:t xml:space="preserve"> </w:t>
      </w:r>
      <w:r w:rsidRPr="003663E8">
        <w:rPr>
          <w:b/>
          <w:color w:val="auto"/>
          <w:szCs w:val="28"/>
        </w:rPr>
        <w:t>проектов муниципальных правовых актов</w:t>
      </w:r>
    </w:p>
    <w:p w:rsidR="003663E8" w:rsidRDefault="003663E8" w:rsidP="00A2073F">
      <w:pPr>
        <w:spacing w:after="0" w:line="259" w:lineRule="auto"/>
        <w:ind w:left="0" w:right="24" w:firstLine="709"/>
      </w:pPr>
    </w:p>
    <w:p w:rsidR="003663E8" w:rsidRDefault="00C953D2" w:rsidP="003F58F9">
      <w:pPr>
        <w:spacing w:after="0" w:line="240" w:lineRule="auto"/>
        <w:ind w:left="0" w:right="24" w:firstLine="709"/>
      </w:pPr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E25018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r>
        <w:t xml:space="preserve">, руководствуясь Уставом </w:t>
      </w:r>
      <w:r w:rsidR="00E25018">
        <w:t>Великоархангельского</w:t>
      </w:r>
      <w:r w:rsidR="003663E8" w:rsidRPr="003663E8">
        <w:t xml:space="preserve"> сельского поселения Бутурлиновского муниципального района</w:t>
      </w:r>
      <w:r w:rsidR="003663E8">
        <w:t xml:space="preserve">, </w:t>
      </w:r>
      <w:r>
        <w:t xml:space="preserve">Совет народных депутатов </w:t>
      </w:r>
      <w:r w:rsidR="00E25018">
        <w:t>Великоархангельского</w:t>
      </w:r>
      <w:r w:rsidR="003663E8" w:rsidRPr="003663E8">
        <w:t xml:space="preserve"> сельского поселения Бутурлиновского муниципального района </w:t>
      </w:r>
    </w:p>
    <w:p w:rsidR="003F58F9" w:rsidRDefault="003F58F9" w:rsidP="003F58F9">
      <w:pPr>
        <w:spacing w:after="0" w:line="240" w:lineRule="auto"/>
        <w:ind w:left="0" w:right="24" w:firstLine="709"/>
      </w:pPr>
    </w:p>
    <w:p w:rsidR="00361453" w:rsidRDefault="003663E8" w:rsidP="003F58F9">
      <w:pPr>
        <w:spacing w:after="0" w:line="240" w:lineRule="auto"/>
        <w:ind w:left="0" w:right="24" w:firstLine="709"/>
        <w:jc w:val="center"/>
      </w:pPr>
      <w:r>
        <w:t>РЕШИЛ:</w:t>
      </w:r>
    </w:p>
    <w:p w:rsidR="00361453" w:rsidRDefault="00A2073F" w:rsidP="003F58F9">
      <w:pPr>
        <w:spacing w:after="0" w:line="240" w:lineRule="auto"/>
        <w:ind w:left="0" w:right="23" w:firstLine="709"/>
        <w:contextualSpacing/>
      </w:pPr>
      <w:r>
        <w:t xml:space="preserve">1. </w:t>
      </w:r>
      <w:r w:rsidR="00C953D2">
        <w:t>Утвердить Порядок подготовки и внесения в</w:t>
      </w:r>
      <w:r w:rsidR="00E25018">
        <w:t xml:space="preserve"> </w:t>
      </w:r>
      <w:r w:rsidR="00C953D2">
        <w:t xml:space="preserve">Совет народных депутатов </w:t>
      </w:r>
      <w:r w:rsidR="00E25018">
        <w:t>Великоархангельского</w:t>
      </w:r>
      <w:r w:rsidR="000816E7" w:rsidRPr="000816E7">
        <w:t xml:space="preserve"> сельского поселения Бутурлиновского муниципального района </w:t>
      </w:r>
      <w:r w:rsidR="00C953D2">
        <w:t>проектов муниципальных правовых актов.</w:t>
      </w:r>
    </w:p>
    <w:p w:rsidR="003F58F9" w:rsidRDefault="003F58F9" w:rsidP="003F58F9">
      <w:pPr>
        <w:spacing w:after="0" w:line="240" w:lineRule="auto"/>
        <w:ind w:left="0" w:right="23" w:firstLine="709"/>
        <w:contextualSpacing/>
      </w:pPr>
    </w:p>
    <w:p w:rsidR="00361453" w:rsidRDefault="00A2073F" w:rsidP="003F58F9">
      <w:pPr>
        <w:spacing w:after="0" w:line="240" w:lineRule="auto"/>
        <w:ind w:left="0" w:right="23" w:firstLine="709"/>
        <w:contextualSpacing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3F58F9" w:rsidRDefault="003F58F9" w:rsidP="003F58F9">
      <w:pPr>
        <w:spacing w:after="0" w:line="240" w:lineRule="auto"/>
        <w:ind w:left="0" w:right="23" w:firstLine="709"/>
        <w:contextualSpacing/>
      </w:pPr>
    </w:p>
    <w:p w:rsidR="00E25018" w:rsidRPr="001516A8" w:rsidRDefault="00A2073F" w:rsidP="003F58F9">
      <w:pPr>
        <w:spacing w:line="240" w:lineRule="auto"/>
        <w:ind w:left="0" w:firstLine="709"/>
        <w:rPr>
          <w:rFonts w:ascii="Calibri" w:eastAsia="Calibri" w:hAnsi="Calibri"/>
          <w:i/>
          <w:color w:val="FF0000"/>
          <w:szCs w:val="28"/>
        </w:rPr>
      </w:pPr>
      <w:r>
        <w:lastRenderedPageBreak/>
        <w:t xml:space="preserve">3. </w:t>
      </w:r>
      <w:r w:rsidR="00C953D2">
        <w:t>Оп</w:t>
      </w:r>
      <w:r w:rsidR="000816E7">
        <w:t xml:space="preserve">убликовать настоящее Решение в </w:t>
      </w:r>
      <w:r w:rsidR="00E25018" w:rsidRPr="00C80DF7">
        <w:rPr>
          <w:rFonts w:eastAsia="Calibri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</w:p>
    <w:p w:rsidR="000816E7" w:rsidRDefault="000816E7" w:rsidP="00E25018">
      <w:pPr>
        <w:spacing w:after="0" w:line="252" w:lineRule="auto"/>
        <w:ind w:left="0" w:right="24" w:firstLine="0"/>
        <w:jc w:val="left"/>
      </w:pPr>
    </w:p>
    <w:p w:rsidR="00E25018" w:rsidRPr="00941860" w:rsidRDefault="00E25018" w:rsidP="00E25018">
      <w:pPr>
        <w:tabs>
          <w:tab w:val="left" w:pos="4377"/>
          <w:tab w:val="left" w:pos="5227"/>
          <w:tab w:val="left" w:pos="5794"/>
          <w:tab w:val="right" w:pos="8629"/>
        </w:tabs>
        <w:spacing w:after="0" w:line="240" w:lineRule="auto"/>
        <w:ind w:left="0" w:firstLine="0"/>
        <w:rPr>
          <w:szCs w:val="28"/>
        </w:rPr>
      </w:pPr>
      <w:r w:rsidRPr="00941860">
        <w:rPr>
          <w:szCs w:val="28"/>
        </w:rPr>
        <w:t>Глава Великоархангельского</w:t>
      </w:r>
    </w:p>
    <w:p w:rsidR="00E25018" w:rsidRPr="00941860" w:rsidRDefault="00E25018" w:rsidP="00E25018">
      <w:pPr>
        <w:tabs>
          <w:tab w:val="left" w:pos="4377"/>
          <w:tab w:val="left" w:pos="5227"/>
          <w:tab w:val="left" w:pos="5794"/>
          <w:tab w:val="right" w:pos="8629"/>
        </w:tabs>
        <w:spacing w:after="0" w:line="240" w:lineRule="auto"/>
        <w:ind w:left="0" w:firstLine="0"/>
        <w:rPr>
          <w:szCs w:val="28"/>
        </w:rPr>
      </w:pPr>
      <w:r w:rsidRPr="00941860">
        <w:rPr>
          <w:szCs w:val="28"/>
        </w:rPr>
        <w:t>сельского поселения                                                          О.В. Моклякова</w:t>
      </w:r>
    </w:p>
    <w:p w:rsidR="00E25018" w:rsidRPr="00941860" w:rsidRDefault="00E25018" w:rsidP="00E25018">
      <w:pPr>
        <w:tabs>
          <w:tab w:val="left" w:pos="4377"/>
          <w:tab w:val="left" w:pos="5227"/>
          <w:tab w:val="left" w:pos="5794"/>
          <w:tab w:val="right" w:pos="8629"/>
        </w:tabs>
        <w:spacing w:after="0" w:line="240" w:lineRule="auto"/>
        <w:ind w:left="0" w:firstLine="0"/>
        <w:rPr>
          <w:szCs w:val="28"/>
        </w:rPr>
      </w:pPr>
    </w:p>
    <w:p w:rsidR="00E25018" w:rsidRPr="00941860" w:rsidRDefault="00E25018" w:rsidP="00E25018">
      <w:pPr>
        <w:tabs>
          <w:tab w:val="left" w:pos="4377"/>
          <w:tab w:val="left" w:pos="5227"/>
          <w:tab w:val="left" w:pos="5794"/>
          <w:tab w:val="right" w:pos="8629"/>
        </w:tabs>
        <w:spacing w:after="0" w:line="240" w:lineRule="auto"/>
        <w:ind w:left="0" w:firstLine="0"/>
        <w:rPr>
          <w:szCs w:val="28"/>
        </w:rPr>
      </w:pPr>
      <w:r w:rsidRPr="00941860">
        <w:rPr>
          <w:szCs w:val="28"/>
        </w:rPr>
        <w:t>Председатель Совета</w:t>
      </w:r>
    </w:p>
    <w:p w:rsidR="00E25018" w:rsidRPr="001C1AEF" w:rsidRDefault="00E25018" w:rsidP="00E25018">
      <w:pPr>
        <w:spacing w:after="0" w:line="240" w:lineRule="auto"/>
        <w:ind w:left="0" w:firstLine="0"/>
        <w:rPr>
          <w:szCs w:val="28"/>
        </w:rPr>
      </w:pPr>
      <w:r w:rsidRPr="00941860">
        <w:rPr>
          <w:szCs w:val="28"/>
        </w:rPr>
        <w:t xml:space="preserve"> народных депутатов                                                           С.Ю. Божко</w:t>
      </w: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F58F9" w:rsidRDefault="003F58F9" w:rsidP="00E25018">
      <w:pPr>
        <w:spacing w:after="0"/>
        <w:ind w:left="3544" w:right="14" w:firstLine="0"/>
      </w:pPr>
    </w:p>
    <w:p w:rsidR="00361453" w:rsidRDefault="00C953D2" w:rsidP="00E25018">
      <w:pPr>
        <w:spacing w:after="0"/>
        <w:ind w:left="3544" w:right="14" w:firstLine="0"/>
      </w:pPr>
      <w:r>
        <w:t>Утвержден</w:t>
      </w:r>
      <w:r w:rsidR="000816E7">
        <w:t xml:space="preserve"> р</w:t>
      </w:r>
      <w:r>
        <w:t>ешением Совета народных депутатов</w:t>
      </w:r>
      <w:r w:rsidR="004F54D7">
        <w:t xml:space="preserve"> Великоархангельского</w:t>
      </w:r>
      <w:r w:rsidR="000816E7">
        <w:t xml:space="preserve"> сельского поселения </w:t>
      </w:r>
      <w:r>
        <w:t xml:space="preserve">от </w:t>
      </w:r>
      <w:r w:rsidR="000816E7">
        <w:t xml:space="preserve"> 29.04.2022  </w:t>
      </w:r>
      <w:r>
        <w:t xml:space="preserve">года </w:t>
      </w:r>
      <w:r w:rsidR="00A87AE0">
        <w:t>№</w:t>
      </w:r>
      <w:r w:rsidR="004F54D7">
        <w:t>99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 w:rsidP="000816E7">
      <w:pPr>
        <w:spacing w:after="0" w:line="259" w:lineRule="auto"/>
        <w:ind w:left="255" w:right="254" w:hanging="10"/>
        <w:jc w:val="center"/>
      </w:pPr>
      <w:r>
        <w:rPr>
          <w:sz w:val="30"/>
        </w:rPr>
        <w:t xml:space="preserve">ПОРЯДОКПОДГОТОВКИ И ВНЕСЕНИЯ </w:t>
      </w:r>
      <w:r w:rsidR="00A2073F">
        <w:rPr>
          <w:sz w:val="30"/>
        </w:rPr>
        <w:t>В</w:t>
      </w:r>
      <w:r>
        <w:rPr>
          <w:sz w:val="30"/>
        </w:rPr>
        <w:t>СОВЕТ НАРОДНЫХ ДЕПУТАТОВ</w:t>
      </w:r>
      <w:r w:rsidR="004F54D7">
        <w:rPr>
          <w:sz w:val="30"/>
        </w:rPr>
        <w:t xml:space="preserve"> ВЕЛИКОАРХАНГЕЛЬСКОГО </w:t>
      </w:r>
      <w:r w:rsidR="000816E7">
        <w:rPr>
          <w:sz w:val="30"/>
        </w:rPr>
        <w:t xml:space="preserve">СЕЛЬСКОГО ПОСЕЛЕНИЯ БУТУРЛИНОВСКОГО МУНИЦИПЛАЬНОГО РАЙОНА </w:t>
      </w:r>
      <w:r w:rsidR="00AA49C8">
        <w:rPr>
          <w:sz w:val="30"/>
        </w:rPr>
        <w:t>ВОРОНЕЖСКОЙ</w:t>
      </w:r>
      <w:r>
        <w:rPr>
          <w:sz w:val="30"/>
        </w:rPr>
        <w:t xml:space="preserve"> ОБЛАСТИПРОЕКТОВ МУНИЦИПАЛЬНЫХ ПРАВОВЫХ АКТОВ</w:t>
      </w:r>
    </w:p>
    <w:p w:rsidR="000816E7" w:rsidRDefault="000816E7" w:rsidP="00AA49C8">
      <w:pPr>
        <w:spacing w:after="120" w:line="240" w:lineRule="auto"/>
        <w:ind w:left="11" w:right="11" w:firstLine="697"/>
      </w:pP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bookmarkStart w:id="0" w:name="_GoBack"/>
      <w:bookmarkEnd w:id="0"/>
      <w:r w:rsidR="004F54D7">
        <w:t>Великоархангельского</w:t>
      </w:r>
      <w:r w:rsidR="000816E7">
        <w:t xml:space="preserve"> сельского поселения  </w:t>
      </w:r>
      <w:r w:rsidR="00AA49C8">
        <w:t>Воронежск</w:t>
      </w:r>
      <w:r>
        <w:t xml:space="preserve">ой области (далее </w:t>
      </w:r>
      <w:r w:rsidR="000816E7">
        <w:t>- Совет народных депутатов</w:t>
      </w:r>
      <w:r>
        <w:t>), устанавливает перечень прилагаемых к ним документов.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07339D">
      <w:pPr>
        <w:spacing w:after="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4F54D7">
        <w:t>Великоархангельского</w:t>
      </w:r>
      <w:r w:rsidR="000816E7">
        <w:t xml:space="preserve"> сельского поселения, </w:t>
      </w:r>
      <w:r>
        <w:t xml:space="preserve"> а также самим муниципальным правовым актом.</w:t>
      </w:r>
    </w:p>
    <w:p w:rsidR="00361453" w:rsidRDefault="00C953D2" w:rsidP="0007339D">
      <w:pPr>
        <w:spacing w:after="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 xml:space="preserve">Субъектами правотворческой инициативы в муниципальном образовании являются депутаты Совета народных депутатов, Глава </w:t>
      </w:r>
      <w:r w:rsidR="004F54D7">
        <w:t>Великоархангельского</w:t>
      </w:r>
      <w:r w:rsidR="000816E7">
        <w:t xml:space="preserve"> сельского поселения</w:t>
      </w:r>
      <w:r>
        <w:t>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lastRenderedPageBreak/>
        <w:t>Правотворческая инициатива реализуется: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t>путем внесения в Совет народных депутатов проектов муниципальных правовых актов, принятие которых относится к компетенции Совета народных депутатов;</w:t>
      </w:r>
    </w:p>
    <w:p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t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07339D">
      <w:pPr>
        <w:spacing w:after="0" w:line="240" w:lineRule="auto"/>
        <w:ind w:left="11" w:right="11" w:firstLine="697"/>
      </w:pPr>
      <w:r>
        <w:t>3</w:t>
      </w:r>
      <w:r w:rsidR="00C953D2">
        <w:t>) путем внесения в Совет народных депутатов информации, рассматриваемой Советом народных депутатов муниципального образования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АКТОВВ СОВЕТ НАРОДНЫХ ДЕПУТАТОВ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Для подготовки проекта правового акта решением Совета народных депутатов, муниципальным правовым актом Главы муниципального образования может быть созданарабочая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З. Субъект правотворческой инициативы прилагает к проекту муниципального правового акта, вносимого в Совет народных депутатов, следующие документы: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lastRenderedPageBreak/>
        <w:t>сопроводительное письмо (на имя Главы муниципального образования) о внесении в Совет народных депутатов проекта муниципального правового акта;</w:t>
      </w:r>
    </w:p>
    <w:p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>проект решения Совета народных депутатов, содержащего в преамбуле правовое обоснование его принятия;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>По поручению Главы муниципального образования организационным отделом (иным структурным подразделением) аппарата Совета народных депутатов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AA49C8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проект решения Совета народных депутатов, содержащий в преамбуле правовое обоснование его принятия;</w:t>
      </w:r>
    </w:p>
    <w:p w:rsidR="00361453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07339D">
      <w:pPr>
        <w:spacing w:after="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Проекты муниципальных правовых актов, направленные в 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депутатов) в соответствии с полномочиями комиссии.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должны быть представлены в Совет народных депутатов на </w:t>
      </w:r>
      <w:r>
        <w:lastRenderedPageBreak/>
        <w:t>бумажном и электронном носителе не позднее чем за пятнадцать дней до дня заседания 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депутатов;</w:t>
      </w:r>
    </w:p>
    <w:p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 xml:space="preserve">униципального образованияв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</w:t>
      </w:r>
      <w:r>
        <w:lastRenderedPageBreak/>
        <w:t>прокурору района (города), для изучения и выражения мнения по нему до рассмотрения проекта на заседании</w:t>
      </w:r>
      <w:r w:rsidR="004F54D7">
        <w:t xml:space="preserve"> </w:t>
      </w:r>
      <w:r>
        <w:t>Совета народных депутатов.</w:t>
      </w:r>
    </w:p>
    <w:p w:rsidR="00361453" w:rsidRDefault="00C953D2" w:rsidP="0007339D">
      <w:pPr>
        <w:spacing w:after="0" w:line="240" w:lineRule="auto"/>
        <w:ind w:left="11" w:right="11" w:firstLine="697"/>
      </w:pPr>
      <w: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361453" w:rsidSect="003F58F9">
      <w:headerReference w:type="even" r:id="rId9"/>
      <w:headerReference w:type="default" r:id="rId10"/>
      <w:headerReference w:type="first" r:id="rId11"/>
      <w:pgSz w:w="11700" w:h="16600"/>
      <w:pgMar w:top="426" w:right="567" w:bottom="2127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34" w:rsidRDefault="00840B34">
      <w:pPr>
        <w:spacing w:after="0" w:line="240" w:lineRule="auto"/>
      </w:pPr>
      <w:r>
        <w:separator/>
      </w:r>
    </w:p>
  </w:endnote>
  <w:endnote w:type="continuationSeparator" w:id="1">
    <w:p w:rsidR="00840B34" w:rsidRDefault="0084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34" w:rsidRDefault="00840B34">
      <w:pPr>
        <w:spacing w:after="0" w:line="240" w:lineRule="auto"/>
      </w:pPr>
      <w:r>
        <w:separator/>
      </w:r>
    </w:p>
  </w:footnote>
  <w:footnote w:type="continuationSeparator" w:id="1">
    <w:p w:rsidR="00840B34" w:rsidRDefault="0084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3364C">
    <w:pPr>
      <w:spacing w:after="0" w:line="259" w:lineRule="auto"/>
      <w:ind w:left="79" w:firstLine="0"/>
      <w:jc w:val="center"/>
    </w:pPr>
    <w:r w:rsidRPr="0033364C">
      <w:fldChar w:fldCharType="begin"/>
    </w:r>
    <w:r w:rsidR="00C953D2">
      <w:instrText xml:space="preserve"> PAGE   \* MERGEFORMAT </w:instrText>
    </w:r>
    <w:r w:rsidRPr="0033364C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33364C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4F54D7">
          <w:rPr>
            <w:noProof/>
          </w:rPr>
          <w:t>7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3"/>
    <w:rsid w:val="0007339D"/>
    <w:rsid w:val="000816E7"/>
    <w:rsid w:val="0033364C"/>
    <w:rsid w:val="00361453"/>
    <w:rsid w:val="003663E8"/>
    <w:rsid w:val="003F58F9"/>
    <w:rsid w:val="004F54D7"/>
    <w:rsid w:val="0057653A"/>
    <w:rsid w:val="00672761"/>
    <w:rsid w:val="007A7FF4"/>
    <w:rsid w:val="008236D1"/>
    <w:rsid w:val="00840B34"/>
    <w:rsid w:val="00A2073F"/>
    <w:rsid w:val="00A87AE0"/>
    <w:rsid w:val="00A90D8B"/>
    <w:rsid w:val="00AA49C8"/>
    <w:rsid w:val="00AF75B8"/>
    <w:rsid w:val="00C867A6"/>
    <w:rsid w:val="00C953D2"/>
    <w:rsid w:val="00E2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4C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3364C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364C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Пользователь</cp:lastModifiedBy>
  <cp:revision>6</cp:revision>
  <dcterms:created xsi:type="dcterms:W3CDTF">2022-04-21T15:24:00Z</dcterms:created>
  <dcterms:modified xsi:type="dcterms:W3CDTF">2022-04-28T12:25:00Z</dcterms:modified>
</cp:coreProperties>
</file>